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szCs w:val="32"/>
        </w:rPr>
      </w:pPr>
      <w:r>
        <w:rPr>
          <w:rFonts w:hint="eastAsia" w:ascii="黑体" w:hAnsi="黑体" w:eastAsia="黑体" w:cs="黑体"/>
          <w:bCs/>
          <w:szCs w:val="32"/>
        </w:rPr>
        <w:t>附件1</w:t>
      </w:r>
    </w:p>
    <w:p>
      <w:pPr>
        <w:keepNext w:val="0"/>
        <w:keepLines w:val="0"/>
        <w:pageBreakBefore w:val="0"/>
        <w:widowControl/>
        <w:kinsoku/>
        <w:wordWrap/>
        <w:overflowPunct/>
        <w:topLinePunct w:val="0"/>
        <w:autoSpaceDE/>
        <w:autoSpaceDN/>
        <w:bidi w:val="0"/>
        <w:adjustRightInd/>
        <w:snapToGrid/>
        <w:spacing w:line="620" w:lineRule="exact"/>
        <w:ind w:firstLine="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2024年度河南省放射卫生技术服务</w:t>
      </w:r>
    </w:p>
    <w:p>
      <w:pPr>
        <w:keepNext w:val="0"/>
        <w:keepLines w:val="0"/>
        <w:pageBreakBefore w:val="0"/>
        <w:widowControl/>
        <w:kinsoku/>
        <w:wordWrap/>
        <w:overflowPunct/>
        <w:topLinePunct w:val="0"/>
        <w:autoSpaceDE/>
        <w:autoSpaceDN/>
        <w:bidi w:val="0"/>
        <w:adjustRightInd/>
        <w:snapToGrid/>
        <w:spacing w:line="620" w:lineRule="exact"/>
        <w:ind w:firstLine="0"/>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质量监测技术方案</w:t>
      </w:r>
    </w:p>
    <w:p>
      <w:pPr>
        <w:autoSpaceDE w:val="0"/>
        <w:spacing w:line="560" w:lineRule="exact"/>
        <w:ind w:firstLine="640" w:firstLineChars="200"/>
        <w:rPr>
          <w:rFonts w:hint="eastAsia" w:ascii="仿宋" w:hAnsi="仿宋" w:eastAsia="仿宋" w:cs="仿宋"/>
          <w:bCs/>
          <w:szCs w:val="32"/>
        </w:rPr>
      </w:pPr>
    </w:p>
    <w:p>
      <w:pPr>
        <w:autoSpaceDE w:val="0"/>
        <w:spacing w:line="560" w:lineRule="exact"/>
        <w:ind w:firstLine="640" w:firstLineChars="200"/>
        <w:rPr>
          <w:rFonts w:ascii="仿宋_GB2312" w:hAnsi="方正仿宋_GB2312" w:cs="方正仿宋_GB2312"/>
        </w:rPr>
      </w:pPr>
      <w:r>
        <w:rPr>
          <w:rFonts w:hint="eastAsia" w:ascii="仿宋" w:hAnsi="仿宋" w:eastAsia="仿宋" w:cs="仿宋"/>
          <w:bCs/>
          <w:szCs w:val="32"/>
        </w:rPr>
        <w:t>为规范做好2024年度河南省放射卫生技术服务质量监测工作，制定本技术方案。</w:t>
      </w:r>
    </w:p>
    <w:p>
      <w:pPr>
        <w:spacing w:line="560" w:lineRule="exact"/>
        <w:ind w:firstLine="640" w:firstLineChars="200"/>
        <w:outlineLvl w:val="0"/>
        <w:rPr>
          <w:rFonts w:ascii="黑体" w:hAnsi="黑体" w:eastAsia="黑体" w:cs="楷体_GB2312"/>
          <w:szCs w:val="32"/>
        </w:rPr>
      </w:pPr>
      <w:r>
        <w:rPr>
          <w:rFonts w:hint="eastAsia" w:ascii="黑体" w:hAnsi="黑体" w:eastAsia="黑体" w:cs="黑体"/>
          <w:bCs/>
          <w:szCs w:val="32"/>
        </w:rPr>
        <w:t>一、监测范围</w:t>
      </w:r>
    </w:p>
    <w:p>
      <w:pPr>
        <w:pStyle w:val="2"/>
        <w:spacing w:line="560" w:lineRule="exact"/>
        <w:ind w:firstLine="640"/>
        <w:rPr>
          <w:rFonts w:ascii="仿宋" w:hAnsi="仿宋" w:eastAsia="仿宋" w:cs="仿宋"/>
          <w:szCs w:val="32"/>
        </w:rPr>
      </w:pPr>
      <w:r>
        <w:rPr>
          <w:rFonts w:hint="eastAsia" w:ascii="仿宋" w:hAnsi="仿宋" w:eastAsia="仿宋" w:cs="仿宋"/>
          <w:bCs/>
          <w:szCs w:val="32"/>
        </w:rPr>
        <w:t>监测范围为河南省辖区内的不少于40%放射卫生技术服务机构，原则上优先选取未纳入2022年度和2023年度放射卫生技术服务质量监测范围的机构，在2023年度放射卫生技术服务质量监测中服务质量风险综合评估为高风险的机构必须纳入。上述机构不满足40%数量要求的，随机抽取其他机构补足，原则上优先选取2023年以来开展过放射卫生检测的技术服务机构。</w:t>
      </w:r>
    </w:p>
    <w:p>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二、监测准备工作</w:t>
      </w:r>
    </w:p>
    <w:p>
      <w:pPr>
        <w:spacing w:line="560" w:lineRule="exact"/>
        <w:ind w:firstLine="640" w:firstLineChars="200"/>
        <w:rPr>
          <w:rFonts w:ascii="楷体" w:hAnsi="楷体" w:eastAsia="楷体" w:cs="仿宋"/>
          <w:bCs/>
          <w:szCs w:val="32"/>
        </w:rPr>
      </w:pPr>
      <w:r>
        <w:rPr>
          <w:rFonts w:hint="eastAsia" w:ascii="楷体" w:hAnsi="楷体" w:eastAsia="楷体" w:cs="仿宋"/>
          <w:bCs/>
          <w:szCs w:val="32"/>
        </w:rPr>
        <w:t>（一）确定纳入监测范围的放射卫生技术服务机构名单</w:t>
      </w:r>
    </w:p>
    <w:p>
      <w:pPr>
        <w:spacing w:line="560" w:lineRule="exact"/>
        <w:ind w:firstLine="640" w:firstLineChars="200"/>
        <w:rPr>
          <w:rFonts w:ascii="仿宋" w:hAnsi="仿宋" w:eastAsia="仿宋" w:cs="仿宋"/>
          <w:lang w:eastAsia="zh-Hans"/>
        </w:rPr>
      </w:pPr>
      <w:r>
        <w:rPr>
          <w:rFonts w:hint="eastAsia" w:ascii="仿宋" w:hAnsi="仿宋" w:eastAsia="仿宋" w:cs="仿宋"/>
          <w:bCs/>
          <w:szCs w:val="32"/>
        </w:rPr>
        <w:t>按照国家卫生健康委职业健康司和省卫生健康委的安排部署，中国疾病预防控制中心辐射防护与核安全医学所（以下简称辐射安全所）根据国家职业卫生技术服务机构信息管理系统并结合河南省实际情况获取未被纳入过监测的放射卫生技术服务机构信息，与2023年放射卫生技术服务质量监测中服务质量风险综合评估为高风险的技术服务机构组成纳入监测的机构名单（附录1）</w:t>
      </w:r>
      <w:r>
        <w:rPr>
          <w:rFonts w:hint="eastAsia" w:ascii="仿宋" w:hAnsi="仿宋" w:eastAsia="仿宋" w:cs="仿宋"/>
          <w:szCs w:val="32"/>
        </w:rPr>
        <w:t>。</w:t>
      </w:r>
    </w:p>
    <w:p>
      <w:pPr>
        <w:tabs>
          <w:tab w:val="left" w:pos="3608"/>
        </w:tabs>
        <w:spacing w:line="560" w:lineRule="exact"/>
        <w:ind w:firstLine="640" w:firstLineChars="200"/>
        <w:outlineLvl w:val="1"/>
        <w:rPr>
          <w:rFonts w:ascii="楷体" w:hAnsi="楷体" w:eastAsia="楷体" w:cs="仿宋"/>
          <w:bCs/>
          <w:szCs w:val="32"/>
        </w:rPr>
      </w:pPr>
      <w:r>
        <w:rPr>
          <w:rFonts w:hint="eastAsia" w:ascii="楷体" w:hAnsi="楷体" w:eastAsia="楷体" w:cs="仿宋"/>
          <w:bCs/>
          <w:szCs w:val="32"/>
        </w:rPr>
        <w:t>（二）确定抽查报告的名单</w:t>
      </w:r>
    </w:p>
    <w:p>
      <w:pPr>
        <w:spacing w:line="560" w:lineRule="exact"/>
        <w:ind w:firstLine="640" w:firstLineChars="200"/>
        <w:rPr>
          <w:rFonts w:ascii="仿宋" w:hAnsi="仿宋" w:eastAsia="仿宋" w:cs="仿宋"/>
          <w:szCs w:val="32"/>
        </w:rPr>
      </w:pPr>
      <w:r>
        <w:rPr>
          <w:rFonts w:hint="eastAsia" w:ascii="仿宋" w:hAnsi="仿宋" w:eastAsia="仿宋" w:cs="仿宋"/>
          <w:szCs w:val="32"/>
        </w:rPr>
        <w:t>纳入监测的机构名单确定后，河南省职业健康技术质量控制中心（以下简称省质控中心）要求纳入监测的机构在48小时内提供机构2023年以来出具的医疗机构放射卫生检测报告清单。省质控中心收齐报告清单后将在1个工作日内提交辐射安全所。辐射安全所根据报告清单抽取1</w:t>
      </w:r>
      <w:r>
        <w:rPr>
          <w:rFonts w:hint="eastAsia" w:ascii="仿宋" w:hAnsi="仿宋" w:eastAsia="仿宋" w:cs="仿宋"/>
          <w:szCs w:val="32"/>
          <w:lang w:eastAsia="zh-Hans"/>
        </w:rPr>
        <w:t>套</w:t>
      </w:r>
      <w:r>
        <w:rPr>
          <w:rFonts w:hint="eastAsia" w:ascii="仿宋" w:hAnsi="仿宋" w:eastAsia="仿宋" w:cs="仿宋"/>
          <w:szCs w:val="32"/>
        </w:rPr>
        <w:t>放射卫生检测报告（原则上应为放射诊疗设备质量控制检测报告及其工作场所放射防护检测报告</w:t>
      </w:r>
      <w:r>
        <w:rPr>
          <w:rFonts w:hint="eastAsia" w:ascii="仿宋" w:hAnsi="仿宋" w:eastAsia="仿宋" w:cs="仿宋"/>
          <w:szCs w:val="32"/>
          <w:lang w:eastAsia="zh-Hans"/>
        </w:rPr>
        <w:t>，有</w:t>
      </w:r>
      <w:r>
        <w:rPr>
          <w:rFonts w:hint="eastAsia" w:ascii="仿宋" w:hAnsi="仿宋" w:eastAsia="仿宋" w:cs="仿宋"/>
        </w:rPr>
        <w:t>放射治疗或核医学</w:t>
      </w:r>
      <w:r>
        <w:rPr>
          <w:rFonts w:hint="eastAsia" w:ascii="仿宋" w:hAnsi="仿宋" w:eastAsia="仿宋" w:cs="仿宋"/>
          <w:lang w:eastAsia="zh-Hans"/>
        </w:rPr>
        <w:t>的要优先抽取。</w:t>
      </w:r>
      <w:r>
        <w:rPr>
          <w:rFonts w:hint="eastAsia" w:ascii="仿宋" w:hAnsi="仿宋" w:eastAsia="仿宋" w:cs="仿宋"/>
          <w:szCs w:val="32"/>
        </w:rPr>
        <w:t>在外省从业的可增加抽取1-2份在外省出具的技术报告）。在外省出具的技术报告，由省质控中心协调开展服务所在地省份的省级监测机构协助开展技术报告的审核和现场核查工作。</w:t>
      </w:r>
    </w:p>
    <w:p>
      <w:pPr>
        <w:spacing w:line="560" w:lineRule="exact"/>
        <w:ind w:firstLine="640" w:firstLineChars="200"/>
        <w:outlineLvl w:val="1"/>
        <w:rPr>
          <w:rFonts w:ascii="仿宋" w:hAnsi="仿宋" w:eastAsia="仿宋" w:cs="仿宋"/>
          <w:bCs/>
          <w:szCs w:val="32"/>
        </w:rPr>
      </w:pPr>
      <w:r>
        <w:rPr>
          <w:rFonts w:hint="eastAsia" w:ascii="楷体" w:hAnsi="楷体" w:eastAsia="楷体" w:cs="仿宋"/>
          <w:bCs/>
          <w:szCs w:val="32"/>
        </w:rPr>
        <w:t>（三）抽查报告材料的提交</w:t>
      </w: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省质控中心在接到辐射安全所抽取的报告名单后书面通知纳入质量监测的放射卫生技术服务机构。各机构在接到通知后24小时内提交有关材料。放射卫生技术服务机构根据以下内容（但不限于下列内容），将被抽查的检测报告归档材料及相关证明材料，全部扫描成电子文档（PDF格式），提交材料内容主要包括机构法人资格证明材料、放射卫生技术服务机构资质证书及其副本、技术服务委托协议书/合同及评审记录、仪器设备检定/校准证书及相应确认记录、现场原始记录、数据处理过程记录、检测报告、仪器设备使用记录以及</w:t>
      </w:r>
      <w:r>
        <w:rPr>
          <w:rFonts w:hint="eastAsia" w:ascii="仿宋" w:hAnsi="仿宋" w:eastAsia="仿宋" w:cs="仿宋"/>
        </w:rPr>
        <w:t>检测报告相应的编制、审核、签发记录</w:t>
      </w:r>
      <w:r>
        <w:rPr>
          <w:rFonts w:hint="eastAsia" w:ascii="仿宋" w:hAnsi="仿宋" w:eastAsia="仿宋" w:cs="仿宋"/>
          <w:bCs/>
          <w:szCs w:val="32"/>
        </w:rPr>
        <w:t>等。电子文档按照上述内容分为若干单独PDF文件，形成一套提交，电子文档中不得隐去相关技术服务信息。</w:t>
      </w:r>
    </w:p>
    <w:p>
      <w:pPr>
        <w:spacing w:line="560" w:lineRule="exact"/>
        <w:ind w:firstLine="640" w:firstLineChars="200"/>
        <w:rPr>
          <w:rFonts w:ascii="楷体" w:hAnsi="楷体" w:eastAsia="楷体" w:cs="仿宋"/>
          <w:bCs/>
          <w:szCs w:val="32"/>
        </w:rPr>
      </w:pPr>
      <w:r>
        <w:rPr>
          <w:rFonts w:hint="eastAsia" w:ascii="楷体" w:hAnsi="楷体" w:eastAsia="楷体" w:cs="仿宋"/>
          <w:bCs/>
          <w:szCs w:val="32"/>
        </w:rPr>
        <w:t>（四）成立质量监测工作小组</w:t>
      </w:r>
    </w:p>
    <w:p>
      <w:pPr>
        <w:spacing w:line="560" w:lineRule="exact"/>
        <w:ind w:firstLine="640" w:firstLineChars="200"/>
        <w:rPr>
          <w:rFonts w:ascii="仿宋" w:hAnsi="仿宋" w:eastAsia="仿宋" w:cs="仿宋"/>
          <w:szCs w:val="32"/>
        </w:rPr>
      </w:pPr>
      <w:r>
        <w:rPr>
          <w:rFonts w:hint="eastAsia" w:ascii="仿宋" w:hAnsi="仿宋" w:eastAsia="仿宋" w:cs="仿宋"/>
          <w:szCs w:val="32"/>
        </w:rPr>
        <w:t>工作小组由专家、基层专业技术人员和联络员组成。专家从国家和省级的放射卫生专家库中抽取，或辐射安全所熟悉放射卫生检测、评价的专家，专业包含检测、评价、质量管理等三个方面，至少3人，其中至少1名国家级专家。基层专业技术人员来自被抽取报告医疗机构所在地县级以上地方疾病预防控制机构或者职业病防治院所，人数不超过2人。联络员由省质控中心派出，负责评估检查的协调和联络工作。</w:t>
      </w:r>
    </w:p>
    <w:p>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三、监测内容和方法</w:t>
      </w:r>
    </w:p>
    <w:p>
      <w:pPr>
        <w:tabs>
          <w:tab w:val="left" w:pos="3608"/>
        </w:tabs>
        <w:spacing w:line="560" w:lineRule="exact"/>
        <w:ind w:firstLine="640" w:firstLineChars="200"/>
        <w:outlineLvl w:val="1"/>
        <w:rPr>
          <w:rFonts w:ascii="仿宋" w:hAnsi="仿宋" w:eastAsia="仿宋" w:cs="仿宋"/>
          <w:bCs/>
          <w:szCs w:val="32"/>
        </w:rPr>
      </w:pPr>
      <w:r>
        <w:rPr>
          <w:rFonts w:hint="eastAsia" w:ascii="楷体" w:hAnsi="楷体" w:eastAsia="楷体" w:cs="仿宋"/>
          <w:bCs/>
          <w:szCs w:val="32"/>
        </w:rPr>
        <w:t>（一）技术报告规范性审核</w:t>
      </w:r>
    </w:p>
    <w:p>
      <w:pPr>
        <w:spacing w:line="560" w:lineRule="exact"/>
        <w:ind w:firstLine="640" w:firstLineChars="200"/>
        <w:rPr>
          <w:rFonts w:ascii="仿宋" w:hAnsi="仿宋" w:eastAsia="仿宋" w:cs="仿宋"/>
        </w:rPr>
      </w:pPr>
      <w:r>
        <w:rPr>
          <w:rFonts w:hint="eastAsia" w:ascii="仿宋" w:hAnsi="仿宋" w:eastAsia="仿宋" w:cs="仿宋"/>
          <w:bCs/>
          <w:szCs w:val="32"/>
        </w:rPr>
        <w:t>工作小组中的专家对各放射卫生技术服务机构提交的检测报告归档材料及相关证明材料进行审核，并出具审核意见，内容应包括放射卫生技术服务工作总体质量的评价、明确存在的合法性和真实性问题、存在的不规范技术问题（包括检测报告开展情况、原始记录及检测报告相关内容的全面性与实际情况的符合性、检测结果的合理性和准确性等）、需要现场重点核实的存疑问题等。</w:t>
      </w:r>
    </w:p>
    <w:p>
      <w:pPr>
        <w:tabs>
          <w:tab w:val="left" w:pos="3608"/>
        </w:tabs>
        <w:spacing w:line="560" w:lineRule="exact"/>
        <w:ind w:firstLine="640" w:firstLineChars="200"/>
        <w:outlineLvl w:val="1"/>
        <w:rPr>
          <w:rFonts w:ascii="仿宋" w:hAnsi="仿宋" w:eastAsia="仿宋" w:cs="仿宋"/>
          <w:bCs/>
          <w:szCs w:val="32"/>
        </w:rPr>
      </w:pPr>
      <w:r>
        <w:rPr>
          <w:rFonts w:hint="eastAsia" w:ascii="楷体" w:hAnsi="楷体" w:eastAsia="楷体" w:cs="仿宋"/>
          <w:bCs/>
          <w:szCs w:val="32"/>
        </w:rPr>
        <w:t>（二）医疗机构现场核查</w:t>
      </w:r>
    </w:p>
    <w:p>
      <w:pPr>
        <w:pStyle w:val="2"/>
        <w:spacing w:line="560" w:lineRule="exact"/>
        <w:ind w:firstLine="640"/>
        <w:rPr>
          <w:rFonts w:ascii="仿宋" w:hAnsi="仿宋" w:eastAsia="仿宋" w:cs="仿宋"/>
          <w:szCs w:val="32"/>
        </w:rPr>
      </w:pPr>
      <w:r>
        <w:rPr>
          <w:rFonts w:hint="eastAsia" w:ascii="仿宋" w:hAnsi="仿宋" w:eastAsia="仿宋" w:cs="仿宋"/>
          <w:szCs w:val="32"/>
        </w:rPr>
        <w:t>1.核查人员。由承担医用辐射防护监测工作的市、县（区）级监测技术支撑机构各</w:t>
      </w:r>
      <w:r>
        <w:rPr>
          <w:rFonts w:ascii="仿宋" w:hAnsi="仿宋" w:eastAsia="仿宋" w:cs="仿宋"/>
          <w:szCs w:val="32"/>
        </w:rPr>
        <w:t>1名专业技术人员和至少1名参与技术报告规范性审核的专家</w:t>
      </w:r>
      <w:r>
        <w:rPr>
          <w:rFonts w:hint="eastAsia" w:ascii="仿宋" w:hAnsi="仿宋" w:eastAsia="仿宋" w:cs="仿宋"/>
          <w:szCs w:val="32"/>
        </w:rPr>
        <w:t>共同</w:t>
      </w:r>
      <w:r>
        <w:rPr>
          <w:rFonts w:ascii="仿宋" w:hAnsi="仿宋" w:eastAsia="仿宋" w:cs="仿宋"/>
          <w:szCs w:val="32"/>
        </w:rPr>
        <w:t>开展技术报告的现场核查工作。</w:t>
      </w:r>
    </w:p>
    <w:p>
      <w:pPr>
        <w:pStyle w:val="2"/>
        <w:spacing w:line="560" w:lineRule="exact"/>
        <w:ind w:firstLine="640"/>
        <w:rPr>
          <w:rFonts w:ascii="仿宋" w:hAnsi="仿宋" w:eastAsia="仿宋" w:cs="仿宋"/>
          <w:szCs w:val="32"/>
        </w:rPr>
      </w:pPr>
      <w:r>
        <w:rPr>
          <w:rFonts w:hint="eastAsia" w:ascii="仿宋" w:hAnsi="仿宋" w:eastAsia="仿宋" w:cs="仿宋"/>
          <w:szCs w:val="32"/>
        </w:rPr>
        <w:t>2.核查内容。包括现场工作的时间和主要人员、技术资料中涉及原始记录内容的真实性和完整性等内容进行核查</w:t>
      </w:r>
      <w:r>
        <w:rPr>
          <w:rFonts w:hint="eastAsia" w:ascii="仿宋" w:hAnsi="仿宋" w:eastAsia="仿宋" w:cs="仿宋"/>
          <w:bCs/>
          <w:szCs w:val="32"/>
        </w:rPr>
        <w:t>。同时，</w:t>
      </w:r>
      <w:r>
        <w:rPr>
          <w:rFonts w:hint="eastAsia" w:ascii="仿宋" w:hAnsi="仿宋" w:eastAsia="仿宋" w:cs="仿宋"/>
          <w:szCs w:val="32"/>
        </w:rPr>
        <w:t>对技术报告审核意见中提出存疑的或明确要求进行现场核查的问题需重点核查。</w:t>
      </w:r>
    </w:p>
    <w:p>
      <w:pPr>
        <w:pStyle w:val="2"/>
        <w:spacing w:line="560" w:lineRule="exact"/>
        <w:ind w:firstLine="640"/>
        <w:rPr>
          <w:rFonts w:ascii="仿宋" w:hAnsi="仿宋" w:eastAsia="仿宋" w:cs="仿宋"/>
          <w:szCs w:val="32"/>
        </w:rPr>
      </w:pPr>
      <w:r>
        <w:rPr>
          <w:rFonts w:hint="eastAsia" w:ascii="仿宋" w:hAnsi="仿宋" w:eastAsia="仿宋" w:cs="仿宋"/>
          <w:szCs w:val="32"/>
        </w:rPr>
        <w:t>3.核查方式。主要采用查阅档案资料、与医疗机构相关人员的询问或座谈、现场调查、现场检测等方式。原则上技术报告的现场核查与医用辐射防护监测工作一体化开展。</w:t>
      </w:r>
    </w:p>
    <w:p>
      <w:pPr>
        <w:pStyle w:val="2"/>
        <w:spacing w:line="560" w:lineRule="exact"/>
        <w:ind w:firstLine="640"/>
        <w:rPr>
          <w:rFonts w:ascii="仿宋" w:hAnsi="仿宋" w:eastAsia="仿宋" w:cs="仿宋"/>
          <w:szCs w:val="32"/>
        </w:rPr>
      </w:pPr>
      <w:r>
        <w:rPr>
          <w:rFonts w:hint="eastAsia" w:ascii="仿宋" w:hAnsi="仿宋" w:eastAsia="仿宋" w:cs="仿宋"/>
          <w:szCs w:val="32"/>
        </w:rPr>
        <w:t>查阅资料主要包括：医疗机构存在的放射诊疗设备质量控制检测报告及其工作场所放射防护检测报告是否与技术服务机构提交的报告一致。现场调查主要通过对现场放射诊疗设备及其工作场所进行调查，与放射卫生技术服务机构提交的检测报告进行比对，主要调查以下内容：①工作场所放射防护检测报告原始记录中的放射性本底水平测量方法符合标准要求，且本底水平值可信。②工作场所放射防护检测报告原始记录中的检测布点以及图例、射线种类符合标准要求。③检测数据异常或不合格数据如实记录，不存在将异常数据或未实施的检测参数按“不具备被检条件”处理的情况。④工作场所放射防护检测布点及图例是否规范，可溯源至原始记录。</w:t>
      </w:r>
      <w:r>
        <w:rPr>
          <w:rFonts w:hint="eastAsia" w:ascii="仿宋" w:hAnsi="仿宋" w:eastAsia="仿宋" w:cs="仿宋"/>
          <w:bCs/>
          <w:szCs w:val="32"/>
        </w:rPr>
        <w:t>⑤</w:t>
      </w:r>
      <w:r>
        <w:rPr>
          <w:rFonts w:hint="eastAsia" w:ascii="仿宋" w:hAnsi="仿宋" w:eastAsia="仿宋" w:cs="仿宋"/>
          <w:szCs w:val="32"/>
        </w:rPr>
        <w:t>使用的仪器设备现场使用时间是否合理。</w:t>
      </w:r>
    </w:p>
    <w:p>
      <w:pPr>
        <w:pStyle w:val="2"/>
        <w:spacing w:line="560" w:lineRule="exact"/>
        <w:ind w:firstLine="640"/>
        <w:rPr>
          <w:rFonts w:ascii="仿宋" w:hAnsi="仿宋" w:eastAsia="仿宋" w:cs="仿宋"/>
          <w:szCs w:val="32"/>
        </w:rPr>
      </w:pPr>
      <w:r>
        <w:rPr>
          <w:rFonts w:hint="eastAsia" w:ascii="仿宋" w:hAnsi="仿宋" w:eastAsia="仿宋" w:cs="仿宋"/>
          <w:szCs w:val="32"/>
        </w:rPr>
        <w:t>依据上述查阅资料和现场调查发现的问题，无法直接判定是否存在问题的，可与医用辐射防护监测工作相结合，对可能存在不符合实际情况的设备检测指标和工作场所点位进行相应的放射诊疗设备质量控制检测及其工作场所放射防护检测。</w:t>
      </w:r>
    </w:p>
    <w:p>
      <w:pPr>
        <w:tabs>
          <w:tab w:val="left" w:pos="3608"/>
        </w:tabs>
        <w:spacing w:line="560" w:lineRule="exact"/>
        <w:ind w:firstLine="640" w:firstLineChars="200"/>
        <w:outlineLvl w:val="1"/>
        <w:rPr>
          <w:rFonts w:ascii="仿宋" w:hAnsi="仿宋" w:eastAsia="仿宋" w:cs="仿宋"/>
          <w:bCs/>
          <w:szCs w:val="32"/>
        </w:rPr>
      </w:pPr>
      <w:r>
        <w:rPr>
          <w:rFonts w:hint="eastAsia" w:ascii="楷体" w:hAnsi="楷体" w:eastAsia="楷体" w:cs="仿宋"/>
          <w:bCs/>
          <w:szCs w:val="32"/>
        </w:rPr>
        <w:t>（三）机构评估检查</w:t>
      </w:r>
    </w:p>
    <w:p>
      <w:pPr>
        <w:pStyle w:val="2"/>
        <w:spacing w:line="560" w:lineRule="exact"/>
        <w:ind w:firstLine="640"/>
        <w:rPr>
          <w:rFonts w:ascii="仿宋" w:hAnsi="仿宋" w:eastAsia="仿宋" w:cs="仿宋"/>
        </w:rPr>
      </w:pPr>
      <w:r>
        <w:rPr>
          <w:rFonts w:hint="eastAsia" w:ascii="仿宋" w:hAnsi="仿宋" w:eastAsia="仿宋" w:cs="仿宋"/>
        </w:rPr>
        <w:t>工作小组对放射卫生技术服务机构的资质条件保持和符合性、技术服务的规范性和真实性三大方面进行评估检查。</w:t>
      </w:r>
    </w:p>
    <w:p>
      <w:pPr>
        <w:pStyle w:val="2"/>
        <w:spacing w:line="560" w:lineRule="exact"/>
        <w:ind w:firstLine="640"/>
        <w:rPr>
          <w:rFonts w:ascii="仿宋" w:hAnsi="仿宋" w:eastAsia="仿宋" w:cs="仿宋"/>
        </w:rPr>
      </w:pPr>
      <w:r>
        <w:rPr>
          <w:rFonts w:hint="eastAsia" w:ascii="仿宋" w:hAnsi="仿宋" w:eastAsia="仿宋" w:cs="仿宋"/>
        </w:rPr>
        <w:t>资质条件保持和符合性主要包括机构的基本条件、环境条件、仪器设备配置、专业技术人员、内部管理制度和质量保证体系，</w:t>
      </w:r>
      <w:r>
        <w:rPr>
          <w:rFonts w:hint="eastAsia" w:ascii="仿宋" w:hAnsi="仿宋" w:eastAsia="仿宋" w:cs="仿宋"/>
          <w:bCs/>
          <w:szCs w:val="32"/>
        </w:rPr>
        <w:t>具体内容见附录2“一、资质条件保持和符合性”。</w:t>
      </w:r>
      <w:r>
        <w:rPr>
          <w:rFonts w:hint="eastAsia" w:ascii="仿宋" w:hAnsi="仿宋" w:eastAsia="仿宋" w:cs="仿宋"/>
        </w:rPr>
        <w:t>主要通过现场查勘技术服务机构、查阅各类档案资料的方式进行。</w:t>
      </w:r>
    </w:p>
    <w:p>
      <w:pPr>
        <w:pStyle w:val="2"/>
        <w:spacing w:line="560" w:lineRule="exact"/>
        <w:ind w:firstLine="640"/>
        <w:rPr>
          <w:rFonts w:ascii="仿宋" w:hAnsi="仿宋" w:eastAsia="仿宋" w:cs="仿宋"/>
        </w:rPr>
      </w:pPr>
      <w:r>
        <w:rPr>
          <w:rFonts w:hint="eastAsia" w:ascii="仿宋" w:hAnsi="仿宋" w:eastAsia="仿宋" w:cs="仿宋"/>
        </w:rPr>
        <w:t>技术服务的规范性评估检查内容主要包括技术服务合同技术协议及评审、技术服务过程记录、检测报告内容、报告归档及信息报送和公示等情况；主要通过资料查阅、与技术人员的座谈与质询、医疗机构的现场核查等方式，在查看仪器设备和原始记录过程中发现存在不合理性时，将要求技术服务机构人员进行现场操作或回答相关问题。</w:t>
      </w:r>
    </w:p>
    <w:p>
      <w:pPr>
        <w:pStyle w:val="2"/>
        <w:spacing w:line="560" w:lineRule="exact"/>
        <w:ind w:firstLine="640"/>
        <w:rPr>
          <w:rFonts w:ascii="仿宋" w:hAnsi="仿宋" w:eastAsia="仿宋" w:cs="仿宋"/>
        </w:rPr>
      </w:pPr>
      <w:r>
        <w:rPr>
          <w:rFonts w:hint="eastAsia" w:ascii="仿宋" w:hAnsi="仿宋" w:eastAsia="仿宋" w:cs="仿宋"/>
        </w:rPr>
        <w:t>技术服务的真实性检查内容为到医疗机构开展现场检测的证明材料、仪器设备状态和使用情况等；主要通过资料查阅、医疗机构现场核查、与技术人员的座谈与质询的方式进行。</w:t>
      </w:r>
    </w:p>
    <w:p>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四、监测结果和风险评估</w:t>
      </w:r>
    </w:p>
    <w:p>
      <w:pPr>
        <w:pStyle w:val="2"/>
        <w:spacing w:line="560" w:lineRule="exact"/>
        <w:ind w:firstLine="640"/>
        <w:rPr>
          <w:rFonts w:ascii="仿宋" w:hAnsi="仿宋" w:eastAsia="仿宋" w:cs="仿宋"/>
        </w:rPr>
      </w:pPr>
      <w:r>
        <w:rPr>
          <w:rFonts w:hint="eastAsia" w:ascii="仿宋" w:hAnsi="仿宋" w:eastAsia="仿宋" w:cs="仿宋"/>
        </w:rPr>
        <w:t>工作小组的专家对附录2中的评估检查指标逐一进行评估，标注为“否决项”和“关键项”的指标直接判定“符合”或“不符合”，其他项按检查方法进行评分。</w:t>
      </w:r>
    </w:p>
    <w:p>
      <w:pPr>
        <w:pStyle w:val="2"/>
        <w:spacing w:line="560" w:lineRule="exact"/>
        <w:ind w:firstLine="640"/>
        <w:rPr>
          <w:rFonts w:ascii="仿宋" w:hAnsi="仿宋" w:eastAsia="仿宋" w:cs="仿宋"/>
        </w:rPr>
      </w:pPr>
      <w:r>
        <w:rPr>
          <w:rFonts w:hint="eastAsia" w:ascii="仿宋" w:hAnsi="仿宋" w:eastAsia="仿宋" w:cs="仿宋"/>
        </w:rPr>
        <w:t>对“否决项”和“关键项”全部符合要求的机构，将其余项的评分结果相加，作为机构放射卫生技术服务质量监测的评估检查最终得分。根据得分分为优秀、合格、不合格三类，其中评分≥90分的为优秀，60分≤评分＜90分的为合格，评分＜60分的为不合格。对出现“否决项”和“关键项”不符合的，直接判定为不合格。</w:t>
      </w:r>
    </w:p>
    <w:p>
      <w:pPr>
        <w:pStyle w:val="2"/>
        <w:spacing w:line="560" w:lineRule="exact"/>
        <w:ind w:firstLine="640"/>
        <w:rPr>
          <w:rFonts w:ascii="仿宋" w:hAnsi="仿宋" w:eastAsia="仿宋" w:cs="仿宋"/>
        </w:rPr>
      </w:pPr>
      <w:r>
        <w:rPr>
          <w:rFonts w:hint="eastAsia" w:ascii="仿宋" w:hAnsi="仿宋" w:eastAsia="仿宋" w:cs="仿宋"/>
        </w:rPr>
        <w:t>工作小组填写“放射卫生技术服务机构评估检查结果表”（附录3）。</w:t>
      </w:r>
    </w:p>
    <w:p>
      <w:pPr>
        <w:pStyle w:val="2"/>
        <w:spacing w:line="560" w:lineRule="exact"/>
        <w:ind w:firstLine="640"/>
        <w:rPr>
          <w:rFonts w:ascii="仿宋" w:hAnsi="仿宋" w:eastAsia="仿宋" w:cs="仿宋"/>
        </w:rPr>
      </w:pPr>
      <w:r>
        <w:rPr>
          <w:rFonts w:hint="eastAsia" w:ascii="仿宋" w:hAnsi="仿宋" w:eastAsia="仿宋" w:cs="仿宋"/>
        </w:rPr>
        <w:t>省质控中心根据各机构放射卫生技术服务质量监测的评估检查结果（放射卫生技术服务机构评估检查表和放射卫生技术服务机构评估检查结果</w:t>
      </w:r>
      <w:r>
        <w:rPr>
          <w:rFonts w:hint="eastAsia" w:ascii="仿宋" w:hAnsi="仿宋" w:eastAsia="仿宋" w:cs="仿宋"/>
          <w:lang w:eastAsia="zh-Hans"/>
        </w:rPr>
        <w:t>表</w:t>
      </w:r>
      <w:r>
        <w:rPr>
          <w:rFonts w:hint="eastAsia" w:ascii="仿宋" w:hAnsi="仿宋" w:eastAsia="仿宋" w:cs="仿宋"/>
        </w:rPr>
        <w:t>），结合</w:t>
      </w:r>
      <w:r>
        <w:rPr>
          <w:rFonts w:hint="eastAsia" w:ascii="仿宋" w:hAnsi="仿宋" w:eastAsia="仿宋" w:cs="仿宋"/>
          <w:lang w:eastAsia="zh-Hans"/>
        </w:rPr>
        <w:t>实验室</w:t>
      </w:r>
      <w:r>
        <w:rPr>
          <w:rFonts w:hint="eastAsia" w:ascii="仿宋" w:hAnsi="仿宋" w:eastAsia="仿宋" w:cs="仿宋"/>
        </w:rPr>
        <w:t>能力验证（</w:t>
      </w:r>
      <w:r>
        <w:rPr>
          <w:rFonts w:hint="eastAsia" w:ascii="仿宋" w:hAnsi="仿宋" w:eastAsia="仿宋" w:cs="仿宋"/>
          <w:lang w:eastAsia="zh-Hans"/>
        </w:rPr>
        <w:t>能力比对</w:t>
      </w:r>
      <w:r>
        <w:rPr>
          <w:rFonts w:hint="eastAsia" w:ascii="仿宋" w:hAnsi="仿宋" w:eastAsia="仿宋" w:cs="仿宋"/>
        </w:rPr>
        <w:t>）</w:t>
      </w:r>
      <w:r>
        <w:rPr>
          <w:rFonts w:hint="eastAsia" w:ascii="仿宋" w:hAnsi="仿宋" w:eastAsia="仿宋" w:cs="仿宋"/>
          <w:lang w:eastAsia="zh-Hans"/>
        </w:rPr>
        <w:t>结果</w:t>
      </w:r>
      <w:r>
        <w:rPr>
          <w:rFonts w:hint="eastAsia" w:ascii="仿宋" w:hAnsi="仿宋" w:eastAsia="仿宋" w:cs="仿宋"/>
        </w:rPr>
        <w:t>，</w:t>
      </w:r>
      <w:r>
        <w:rPr>
          <w:rFonts w:hint="eastAsia" w:ascii="仿宋" w:hAnsi="仿宋" w:eastAsia="仿宋" w:cs="仿宋"/>
          <w:lang w:eastAsia="zh-Hans"/>
        </w:rPr>
        <w:t>对</w:t>
      </w:r>
      <w:r>
        <w:rPr>
          <w:rFonts w:hint="eastAsia" w:ascii="仿宋" w:hAnsi="仿宋" w:eastAsia="仿宋" w:cs="仿宋"/>
        </w:rPr>
        <w:t>放射</w:t>
      </w:r>
      <w:r>
        <w:rPr>
          <w:rFonts w:hint="eastAsia" w:ascii="仿宋" w:hAnsi="仿宋" w:eastAsia="仿宋" w:cs="仿宋"/>
          <w:lang w:eastAsia="zh-Hans"/>
        </w:rPr>
        <w:t>卫生技术服务机构</w:t>
      </w:r>
      <w:r>
        <w:rPr>
          <w:rFonts w:hint="eastAsia" w:ascii="仿宋" w:hAnsi="仿宋" w:eastAsia="仿宋" w:cs="仿宋"/>
        </w:rPr>
        <w:t>进行风险等级评定。评定规则如下：</w:t>
      </w:r>
    </w:p>
    <w:p>
      <w:pPr>
        <w:pStyle w:val="2"/>
        <w:spacing w:line="560" w:lineRule="exact"/>
        <w:ind w:firstLine="640"/>
        <w:rPr>
          <w:rFonts w:ascii="仿宋" w:hAnsi="仿宋" w:eastAsia="仿宋" w:cs="仿宋"/>
        </w:rPr>
      </w:pPr>
      <w:r>
        <w:rPr>
          <w:rFonts w:hint="eastAsia" w:ascii="仿宋" w:hAnsi="仿宋" w:eastAsia="仿宋" w:cs="仿宋"/>
        </w:rPr>
        <w:t>A级：评估检查结果得分≥90分，且</w:t>
      </w:r>
      <w:r>
        <w:rPr>
          <w:rFonts w:hint="eastAsia" w:ascii="仿宋" w:hAnsi="仿宋" w:eastAsia="仿宋" w:cs="仿宋"/>
          <w:lang w:eastAsia="zh-Hans"/>
        </w:rPr>
        <w:t>实验室</w:t>
      </w:r>
      <w:r>
        <w:rPr>
          <w:rFonts w:hint="eastAsia" w:ascii="仿宋" w:hAnsi="仿宋" w:eastAsia="仿宋" w:cs="仿宋"/>
        </w:rPr>
        <w:t>能力验证（</w:t>
      </w:r>
      <w:r>
        <w:rPr>
          <w:rFonts w:hint="eastAsia" w:ascii="仿宋" w:hAnsi="仿宋" w:eastAsia="仿宋" w:cs="仿宋"/>
          <w:lang w:eastAsia="zh-Hans"/>
        </w:rPr>
        <w:t>能力比对</w:t>
      </w:r>
      <w:r>
        <w:rPr>
          <w:rFonts w:hint="eastAsia" w:ascii="仿宋" w:hAnsi="仿宋" w:eastAsia="仿宋" w:cs="仿宋"/>
        </w:rPr>
        <w:t>）评定结果为优秀的；</w:t>
      </w:r>
    </w:p>
    <w:p>
      <w:pPr>
        <w:pStyle w:val="2"/>
        <w:spacing w:line="560" w:lineRule="exact"/>
        <w:ind w:firstLine="640"/>
        <w:rPr>
          <w:rFonts w:ascii="仿宋" w:hAnsi="仿宋" w:eastAsia="仿宋" w:cs="仿宋"/>
        </w:rPr>
      </w:pPr>
      <w:r>
        <w:rPr>
          <w:rFonts w:hint="eastAsia" w:ascii="仿宋" w:hAnsi="仿宋" w:eastAsia="仿宋" w:cs="仿宋"/>
        </w:rPr>
        <w:t>B级：（1）评估检查结果得分为60≤评分＜90分，且</w:t>
      </w:r>
      <w:r>
        <w:rPr>
          <w:rFonts w:hint="eastAsia" w:ascii="仿宋" w:hAnsi="仿宋" w:eastAsia="仿宋" w:cs="仿宋"/>
          <w:lang w:eastAsia="zh-Hans"/>
        </w:rPr>
        <w:t>实验室</w:t>
      </w:r>
      <w:r>
        <w:rPr>
          <w:rFonts w:hint="eastAsia" w:ascii="仿宋" w:hAnsi="仿宋" w:eastAsia="仿宋" w:cs="仿宋"/>
        </w:rPr>
        <w:t>能力验证（</w:t>
      </w:r>
      <w:r>
        <w:rPr>
          <w:rFonts w:hint="eastAsia" w:ascii="仿宋" w:hAnsi="仿宋" w:eastAsia="仿宋" w:cs="仿宋"/>
          <w:lang w:eastAsia="zh-Hans"/>
        </w:rPr>
        <w:t>能力比对</w:t>
      </w:r>
      <w:r>
        <w:rPr>
          <w:rFonts w:hint="eastAsia" w:ascii="仿宋" w:hAnsi="仿宋" w:eastAsia="仿宋" w:cs="仿宋"/>
        </w:rPr>
        <w:t>）评定结果为合格或优秀的；（2）评估检查结果得分≥90分，且</w:t>
      </w:r>
      <w:r>
        <w:rPr>
          <w:rFonts w:hint="eastAsia" w:ascii="仿宋" w:hAnsi="仿宋" w:eastAsia="仿宋" w:cs="仿宋"/>
          <w:lang w:eastAsia="zh-Hans"/>
        </w:rPr>
        <w:t>实验室</w:t>
      </w:r>
      <w:r>
        <w:rPr>
          <w:rFonts w:hint="eastAsia" w:ascii="仿宋" w:hAnsi="仿宋" w:eastAsia="仿宋" w:cs="仿宋"/>
        </w:rPr>
        <w:t>能力验证（</w:t>
      </w:r>
      <w:r>
        <w:rPr>
          <w:rFonts w:hint="eastAsia" w:ascii="仿宋" w:hAnsi="仿宋" w:eastAsia="仿宋" w:cs="仿宋"/>
          <w:lang w:eastAsia="zh-Hans"/>
        </w:rPr>
        <w:t>能力比对</w:t>
      </w:r>
      <w:r>
        <w:rPr>
          <w:rFonts w:hint="eastAsia" w:ascii="仿宋" w:hAnsi="仿宋" w:eastAsia="仿宋" w:cs="仿宋"/>
        </w:rPr>
        <w:t>）评定结果为合格的。存在以上两种情形之一的，判定为B级。</w:t>
      </w:r>
    </w:p>
    <w:p>
      <w:pPr>
        <w:pStyle w:val="2"/>
        <w:spacing w:line="560" w:lineRule="exact"/>
        <w:ind w:firstLine="640"/>
        <w:rPr>
          <w:rFonts w:ascii="仿宋" w:hAnsi="仿宋" w:eastAsia="仿宋" w:cs="仿宋"/>
        </w:rPr>
      </w:pPr>
      <w:r>
        <w:rPr>
          <w:rFonts w:hint="eastAsia" w:ascii="仿宋" w:hAnsi="仿宋" w:eastAsia="仿宋" w:cs="仿宋"/>
        </w:rPr>
        <w:t>C级：（1）评估检查结果得分＜60分；（2）否决项出现不符合的；（3）关键项出现不符合的；（4）</w:t>
      </w:r>
      <w:r>
        <w:rPr>
          <w:rFonts w:hint="eastAsia" w:ascii="仿宋" w:hAnsi="仿宋" w:eastAsia="仿宋" w:cs="仿宋"/>
          <w:lang w:eastAsia="zh-Hans"/>
        </w:rPr>
        <w:t>实验室</w:t>
      </w:r>
      <w:r>
        <w:rPr>
          <w:rFonts w:hint="eastAsia" w:ascii="仿宋" w:hAnsi="仿宋" w:eastAsia="仿宋" w:cs="仿宋"/>
        </w:rPr>
        <w:t>能力验证（</w:t>
      </w:r>
      <w:r>
        <w:rPr>
          <w:rFonts w:hint="eastAsia" w:ascii="仿宋" w:hAnsi="仿宋" w:eastAsia="仿宋" w:cs="仿宋"/>
          <w:lang w:eastAsia="zh-Hans"/>
        </w:rPr>
        <w:t>能力比对</w:t>
      </w:r>
      <w:r>
        <w:rPr>
          <w:rFonts w:hint="eastAsia" w:ascii="仿宋" w:hAnsi="仿宋" w:eastAsia="仿宋" w:cs="仿宋"/>
        </w:rPr>
        <w:t>）评定结果为不合格的。至少存在以上四种情形之一的，判定为C级。</w:t>
      </w:r>
    </w:p>
    <w:p>
      <w:pPr>
        <w:pStyle w:val="2"/>
        <w:spacing w:line="560" w:lineRule="exact"/>
        <w:ind w:firstLine="640"/>
        <w:rPr>
          <w:rFonts w:ascii="仿宋" w:hAnsi="仿宋" w:eastAsia="仿宋" w:cs="仿宋"/>
        </w:rPr>
      </w:pPr>
      <w:r>
        <w:rPr>
          <w:rFonts w:hint="eastAsia" w:ascii="仿宋" w:hAnsi="仿宋" w:eastAsia="仿宋" w:cs="仿宋"/>
        </w:rPr>
        <w:t>对未开展检测服务的机构，仅对“一、资质条件保持和符合性”进行检查。</w:t>
      </w:r>
    </w:p>
    <w:p>
      <w:pPr>
        <w:spacing w:line="560" w:lineRule="exact"/>
        <w:ind w:firstLine="640" w:firstLineChars="200"/>
        <w:rPr>
          <w:rFonts w:ascii="仿宋_GB2312" w:hAnsi="方正仿宋_GB18030" w:cs="方正仿宋_GB18030"/>
          <w:bCs/>
          <w:szCs w:val="32"/>
        </w:rPr>
      </w:pPr>
      <w:r>
        <w:rPr>
          <w:rFonts w:hint="eastAsia" w:ascii="仿宋" w:hAnsi="仿宋" w:eastAsia="仿宋" w:cs="仿宋"/>
          <w:bCs/>
          <w:szCs w:val="32"/>
        </w:rPr>
        <w:t>不具备参加个人剂量监测或总α总β放射性测量能力比对条件的机构，放射卫生检测能力比对结果视为合格。</w:t>
      </w:r>
    </w:p>
    <w:p>
      <w:pPr>
        <w:pStyle w:val="2"/>
        <w:spacing w:line="560" w:lineRule="exact"/>
        <w:ind w:firstLine="640"/>
        <w:rPr>
          <w:rFonts w:ascii="黑体" w:hAnsi="黑体" w:eastAsia="黑体" w:cs="黑体"/>
          <w:bCs/>
          <w:szCs w:val="32"/>
        </w:rPr>
      </w:pPr>
      <w:r>
        <w:rPr>
          <w:rFonts w:hint="eastAsia" w:ascii="黑体" w:hAnsi="黑体" w:eastAsia="黑体" w:cs="黑体"/>
          <w:bCs/>
          <w:szCs w:val="32"/>
        </w:rPr>
        <w:t>五、监测结果报送</w:t>
      </w:r>
    </w:p>
    <w:p>
      <w:pPr>
        <w:pStyle w:val="2"/>
        <w:spacing w:line="560" w:lineRule="exact"/>
        <w:ind w:firstLine="640"/>
        <w:rPr>
          <w:rFonts w:ascii="仿宋" w:hAnsi="仿宋" w:eastAsia="仿宋" w:cs="仿宋"/>
          <w:szCs w:val="32"/>
        </w:rPr>
      </w:pPr>
      <w:r>
        <w:rPr>
          <w:rFonts w:hint="eastAsia" w:ascii="仿宋" w:hAnsi="仿宋" w:eastAsia="仿宋" w:cs="仿宋"/>
          <w:szCs w:val="32"/>
        </w:rPr>
        <w:t>工作小组完成对</w:t>
      </w:r>
      <w:r>
        <w:rPr>
          <w:rFonts w:hint="eastAsia" w:ascii="仿宋" w:hAnsi="仿宋" w:eastAsia="仿宋" w:cs="仿宋"/>
        </w:rPr>
        <w:t>放射卫生</w:t>
      </w:r>
      <w:r>
        <w:rPr>
          <w:rFonts w:hint="eastAsia" w:ascii="仿宋" w:hAnsi="仿宋" w:eastAsia="仿宋" w:cs="仿宋"/>
          <w:szCs w:val="32"/>
        </w:rPr>
        <w:t>技术服务机构的评估检查后5个工作日内将</w:t>
      </w:r>
      <w:r>
        <w:rPr>
          <w:rFonts w:hint="eastAsia" w:ascii="仿宋" w:hAnsi="仿宋" w:eastAsia="仿宋" w:cs="仿宋"/>
        </w:rPr>
        <w:t>放射卫生</w:t>
      </w:r>
      <w:r>
        <w:rPr>
          <w:rFonts w:hint="eastAsia" w:ascii="仿宋" w:hAnsi="仿宋" w:eastAsia="仿宋" w:cs="仿宋"/>
          <w:szCs w:val="32"/>
        </w:rPr>
        <w:t>技术服务评估检查结论（附录2和附录3）和相关过程材料提交省质控中心，由省质控中心进行汇总并开展</w:t>
      </w:r>
      <w:r>
        <w:rPr>
          <w:rFonts w:hint="eastAsia" w:ascii="仿宋" w:hAnsi="仿宋" w:eastAsia="仿宋" w:cs="仿宋"/>
        </w:rPr>
        <w:t>风险等级评定</w:t>
      </w:r>
      <w:r>
        <w:rPr>
          <w:rFonts w:hint="eastAsia" w:ascii="仿宋" w:hAnsi="仿宋" w:eastAsia="仿宋" w:cs="仿宋"/>
          <w:szCs w:val="32"/>
        </w:rPr>
        <w:t>，撰写总结报告，汇总内容和具体指标要求另行制定。总结报告于2024年10月31日前提交省级卫生健康委，省级卫生健康委审核后于2024年11月15日前提交辐射安全所。</w:t>
      </w:r>
    </w:p>
    <w:p>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六、监测工作质量控制</w:t>
      </w:r>
    </w:p>
    <w:p>
      <w:pPr>
        <w:adjustRightInd w:val="0"/>
        <w:snapToGrid w:val="0"/>
        <w:spacing w:line="560" w:lineRule="exact"/>
        <w:ind w:firstLine="640" w:firstLineChars="200"/>
        <w:rPr>
          <w:rFonts w:ascii="仿宋" w:hAnsi="仿宋" w:eastAsia="仿宋" w:cs="仿宋"/>
          <w:bCs/>
          <w:szCs w:val="32"/>
        </w:rPr>
      </w:pPr>
      <w:r>
        <w:rPr>
          <w:rFonts w:hint="eastAsia" w:ascii="仿宋" w:hAnsi="仿宋" w:eastAsia="仿宋" w:cs="仿宋"/>
          <w:bCs/>
          <w:szCs w:val="32"/>
        </w:rPr>
        <w:t>省质控中心负责对参与技术报告规范性审核</w:t>
      </w:r>
      <w:r>
        <w:rPr>
          <w:rFonts w:hint="eastAsia" w:ascii="仿宋" w:hAnsi="仿宋" w:eastAsia="仿宋" w:cs="仿宋"/>
          <w:szCs w:val="32"/>
        </w:rPr>
        <w:t>、医疗机构现场核查和</w:t>
      </w:r>
      <w:r>
        <w:rPr>
          <w:rFonts w:hint="eastAsia" w:ascii="仿宋" w:hAnsi="仿宋" w:eastAsia="仿宋" w:cs="仿宋"/>
          <w:bCs/>
          <w:szCs w:val="32"/>
        </w:rPr>
        <w:t>机构评估检查的专家进行培训。专家应按照规定的审核内容和要求，认真开展技术审核，并对审核结论负责。专家不得参与本人所在单位或与本人有利害关系的技术服务机构的检测报告技术审核</w:t>
      </w:r>
      <w:r>
        <w:rPr>
          <w:rFonts w:hint="eastAsia" w:ascii="仿宋" w:hAnsi="仿宋" w:eastAsia="仿宋" w:cs="仿宋"/>
          <w:szCs w:val="32"/>
        </w:rPr>
        <w:t>和机构评估检查工作</w:t>
      </w:r>
      <w:r>
        <w:rPr>
          <w:rFonts w:hint="eastAsia" w:ascii="仿宋" w:hAnsi="仿宋" w:eastAsia="仿宋" w:cs="仿宋"/>
          <w:bCs/>
          <w:szCs w:val="32"/>
        </w:rPr>
        <w:t>，不得泄露工作相关秘密。</w:t>
      </w:r>
    </w:p>
    <w:p>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七、监测结果运用</w:t>
      </w:r>
    </w:p>
    <w:p>
      <w:pPr>
        <w:adjustRightInd w:val="0"/>
        <w:snapToGrid w:val="0"/>
        <w:spacing w:line="560" w:lineRule="exact"/>
        <w:ind w:firstLine="640"/>
        <w:rPr>
          <w:rFonts w:ascii="仿宋" w:hAnsi="仿宋" w:eastAsia="仿宋" w:cs="仿宋"/>
          <w:bCs/>
          <w:szCs w:val="32"/>
        </w:rPr>
      </w:pPr>
      <w:r>
        <w:rPr>
          <w:rFonts w:hint="eastAsia" w:ascii="仿宋" w:hAnsi="仿宋" w:eastAsia="仿宋" w:cs="仿宋"/>
          <w:bCs/>
          <w:szCs w:val="32"/>
        </w:rPr>
        <w:t>省质控中心向省级卫生健康行政部门报送监测结果，并提出相关工作建议，基本原则如下：</w:t>
      </w:r>
    </w:p>
    <w:p>
      <w:pPr>
        <w:spacing w:line="560" w:lineRule="exact"/>
        <w:ind w:firstLine="640" w:firstLineChars="200"/>
        <w:rPr>
          <w:rFonts w:ascii="仿宋" w:hAnsi="仿宋" w:eastAsia="仿宋" w:cs="仿宋"/>
          <w:bCs/>
          <w:szCs w:val="32"/>
        </w:rPr>
      </w:pPr>
      <w:r>
        <w:rPr>
          <w:rFonts w:hint="eastAsia" w:ascii="楷体" w:hAnsi="楷体" w:eastAsia="楷体" w:cs="楷体"/>
          <w:bCs/>
          <w:szCs w:val="32"/>
        </w:rPr>
        <w:t>（一）</w:t>
      </w:r>
      <w:r>
        <w:rPr>
          <w:rFonts w:hint="eastAsia" w:ascii="仿宋" w:hAnsi="仿宋" w:eastAsia="仿宋" w:cs="仿宋"/>
          <w:bCs/>
          <w:szCs w:val="32"/>
        </w:rPr>
        <w:t>风险等级为A级的机构，在资质有效期内不再对其开展技术服务质量监测。</w:t>
      </w:r>
    </w:p>
    <w:p>
      <w:pPr>
        <w:spacing w:line="560" w:lineRule="exact"/>
        <w:ind w:firstLine="640" w:firstLineChars="200"/>
        <w:rPr>
          <w:rFonts w:ascii="仿宋" w:hAnsi="仿宋" w:eastAsia="仿宋" w:cs="仿宋"/>
          <w:bCs/>
          <w:szCs w:val="32"/>
        </w:rPr>
      </w:pPr>
      <w:r>
        <w:rPr>
          <w:rFonts w:hint="eastAsia" w:ascii="楷体" w:hAnsi="楷体" w:eastAsia="楷体" w:cs="楷体"/>
          <w:bCs/>
          <w:szCs w:val="32"/>
        </w:rPr>
        <w:t>（二）</w:t>
      </w:r>
      <w:r>
        <w:rPr>
          <w:rFonts w:hint="eastAsia" w:ascii="仿宋" w:hAnsi="仿宋" w:eastAsia="仿宋" w:cs="仿宋"/>
          <w:bCs/>
          <w:szCs w:val="32"/>
        </w:rPr>
        <w:t>风险等级为B级的机构，按时完成整改、提交整改报告、经复核符合要求的，在资质有效期内原则上不再开展服务质量监测；未按时完成整改、未提交整改报告或经复核仍然不符合要求的，该机构纳入下一年度服务质量监测范围。</w:t>
      </w:r>
    </w:p>
    <w:p>
      <w:pPr>
        <w:spacing w:line="560" w:lineRule="exact"/>
        <w:ind w:firstLine="640" w:firstLineChars="200"/>
        <w:rPr>
          <w:rFonts w:ascii="仿宋" w:hAnsi="仿宋" w:eastAsia="仿宋" w:cs="仿宋"/>
          <w:bCs/>
          <w:szCs w:val="32"/>
        </w:rPr>
      </w:pPr>
      <w:r>
        <w:rPr>
          <w:rFonts w:hint="eastAsia" w:ascii="楷体" w:hAnsi="楷体" w:eastAsia="楷体" w:cs="楷体"/>
          <w:bCs/>
          <w:szCs w:val="32"/>
        </w:rPr>
        <w:t>（三）</w:t>
      </w:r>
      <w:r>
        <w:rPr>
          <w:rFonts w:hint="eastAsia" w:ascii="仿宋" w:hAnsi="仿宋" w:eastAsia="仿宋" w:cs="仿宋"/>
          <w:bCs/>
          <w:szCs w:val="32"/>
        </w:rPr>
        <w:t>风险等级为C级的机构，针对具体情形分别采取相应管理措施：1.存在否决项不符合的，将有关材料提交资质认可机关依法处理；2.存在关键项不符合的，且在评估过程中发现存在隐瞒有关情况、提供虚假材料、出具虚假报告、超出资质认可范围从业等违法线索的，提请资质认可机关，移交省级卫生行政部门处理；3.不存在1、2所列情形的，将其纳入下一年度服务质量监测范围。</w:t>
      </w: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省质控中心在放射卫生技术服务质量监测评估过程中发现的问题，督促机构及时完成整改。</w:t>
      </w:r>
    </w:p>
    <w:p>
      <w:pPr>
        <w:spacing w:line="560" w:lineRule="exact"/>
        <w:ind w:firstLine="640" w:firstLineChars="200"/>
        <w:outlineLvl w:val="0"/>
        <w:rPr>
          <w:rFonts w:ascii="黑体" w:hAnsi="黑体" w:eastAsia="黑体" w:cs="黑体"/>
          <w:bCs/>
          <w:szCs w:val="32"/>
        </w:rPr>
      </w:pPr>
      <w:r>
        <w:rPr>
          <w:rFonts w:hint="eastAsia" w:ascii="黑体" w:hAnsi="黑体" w:eastAsia="黑体" w:cs="黑体"/>
          <w:bCs/>
          <w:szCs w:val="32"/>
        </w:rPr>
        <w:t>八、经费管理与使用</w:t>
      </w: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省质控中心应按照省级卫生健康委的要求，加强对项目的组织领导，严格执行中央财政专项资金使用管理规定，加强项目经费管理，确保专款专用，提高资金使用效益。</w:t>
      </w:r>
    </w:p>
    <w:p>
      <w:pPr>
        <w:pStyle w:val="2"/>
        <w:spacing w:line="560" w:lineRule="exact"/>
        <w:ind w:firstLine="640"/>
        <w:rPr>
          <w:rFonts w:ascii="仿宋_GB2312" w:hAnsi="方正仿宋_GB18030" w:cs="方正仿宋_GB18030"/>
        </w:rPr>
      </w:pPr>
    </w:p>
    <w:p>
      <w:pPr>
        <w:spacing w:line="560" w:lineRule="exact"/>
        <w:ind w:firstLine="640" w:firstLineChars="200"/>
        <w:rPr>
          <w:rFonts w:ascii="仿宋" w:hAnsi="仿宋" w:eastAsia="仿宋" w:cs="仿宋"/>
          <w:bCs/>
          <w:szCs w:val="32"/>
        </w:rPr>
      </w:pPr>
      <w:r>
        <w:rPr>
          <w:rFonts w:hint="eastAsia" w:ascii="仿宋" w:hAnsi="仿宋" w:eastAsia="仿宋" w:cs="仿宋"/>
          <w:bCs/>
          <w:szCs w:val="32"/>
        </w:rPr>
        <w:t>附录：1.</w:t>
      </w:r>
      <w:r>
        <w:rPr>
          <w:rFonts w:hint="eastAsia" w:ascii="仿宋" w:hAnsi="仿宋" w:eastAsia="仿宋" w:cs="仿宋"/>
          <w:szCs w:val="32"/>
        </w:rPr>
        <w:t>2024年放射卫生技术服务质量监测机构名单</w:t>
      </w:r>
    </w:p>
    <w:p>
      <w:pPr>
        <w:spacing w:line="560" w:lineRule="exact"/>
        <w:ind w:firstLine="1600" w:firstLineChars="500"/>
        <w:rPr>
          <w:rFonts w:ascii="仿宋" w:hAnsi="仿宋" w:eastAsia="仿宋" w:cs="仿宋"/>
          <w:bCs/>
          <w:szCs w:val="32"/>
        </w:rPr>
      </w:pPr>
      <w:r>
        <w:rPr>
          <w:rFonts w:hint="eastAsia" w:ascii="仿宋" w:hAnsi="仿宋" w:eastAsia="仿宋" w:cs="仿宋"/>
          <w:bCs/>
          <w:szCs w:val="32"/>
        </w:rPr>
        <w:t>2.放射卫生技术服务机构评估检查表</w:t>
      </w:r>
    </w:p>
    <w:p>
      <w:pPr>
        <w:spacing w:line="560" w:lineRule="exact"/>
        <w:ind w:firstLine="1600" w:firstLineChars="500"/>
        <w:rPr>
          <w:rFonts w:ascii="仿宋_GB2312"/>
          <w:szCs w:val="32"/>
        </w:rPr>
      </w:pPr>
      <w:r>
        <w:rPr>
          <w:rFonts w:hint="eastAsia" w:ascii="仿宋" w:hAnsi="仿宋" w:eastAsia="仿宋" w:cs="仿宋"/>
          <w:bCs/>
          <w:szCs w:val="32"/>
        </w:rPr>
        <w:t>3.放射卫生技术服务机构评估检查结果表</w:t>
      </w:r>
      <w:r>
        <w:rPr>
          <w:rFonts w:hint="eastAsia" w:ascii="仿宋_GB2312"/>
          <w:szCs w:val="32"/>
        </w:rPr>
        <w:br w:type="page"/>
      </w:r>
    </w:p>
    <w:p>
      <w:pPr>
        <w:pStyle w:val="2"/>
        <w:ind w:firstLine="0" w:firstLineChars="0"/>
        <w:outlineLvl w:val="0"/>
        <w:rPr>
          <w:rFonts w:ascii="黑体" w:hAnsi="黑体" w:eastAsia="黑体" w:cs="黑体"/>
          <w:bCs/>
          <w:szCs w:val="32"/>
        </w:rPr>
      </w:pPr>
      <w:r>
        <w:rPr>
          <w:rFonts w:hint="eastAsia" w:ascii="黑体" w:hAnsi="黑体" w:eastAsia="黑体" w:cs="黑体"/>
          <w:bCs/>
          <w:szCs w:val="32"/>
        </w:rPr>
        <w:t>附录1</w:t>
      </w:r>
    </w:p>
    <w:p>
      <w:pPr>
        <w:pStyle w:val="2"/>
        <w:ind w:firstLine="0" w:firstLineChars="0"/>
        <w:rPr>
          <w:rFonts w:ascii="仿宋_GB2312" w:hAnsi="黑体" w:cs="黑体"/>
          <w:bCs/>
          <w:sz w:val="21"/>
          <w:szCs w:val="21"/>
        </w:rPr>
      </w:pPr>
    </w:p>
    <w:p>
      <w:pPr>
        <w:spacing w:line="360" w:lineRule="auto"/>
        <w:jc w:val="center"/>
        <w:rPr>
          <w:rFonts w:ascii="方正小标宋简体" w:eastAsia="方正小标宋简体"/>
          <w:b/>
          <w:sz w:val="44"/>
          <w:szCs w:val="44"/>
        </w:rPr>
      </w:pPr>
      <w:r>
        <w:rPr>
          <w:rFonts w:hint="eastAsia" w:ascii="方正小标宋简体" w:eastAsia="方正小标宋简体"/>
          <w:b/>
          <w:sz w:val="40"/>
          <w:szCs w:val="44"/>
        </w:rPr>
        <w:t>2024年放射卫生技术服务质量监测机构名单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spacing w:line="480" w:lineRule="auto"/>
              <w:jc w:val="center"/>
              <w:rPr>
                <w:rFonts w:ascii="仿宋" w:hAnsi="仿宋" w:eastAsia="仿宋"/>
                <w:b/>
              </w:rPr>
            </w:pPr>
            <w:r>
              <w:rPr>
                <w:rFonts w:hint="eastAsia" w:ascii="仿宋" w:hAnsi="仿宋" w:eastAsia="仿宋"/>
                <w:b/>
              </w:rPr>
              <w:t>序号</w:t>
            </w:r>
          </w:p>
        </w:tc>
        <w:tc>
          <w:tcPr>
            <w:tcW w:w="7421" w:type="dxa"/>
          </w:tcPr>
          <w:p>
            <w:pPr>
              <w:jc w:val="center"/>
              <w:rPr>
                <w:rFonts w:ascii="仿宋" w:hAnsi="仿宋" w:eastAsia="仿宋"/>
                <w:b/>
              </w:rPr>
            </w:pPr>
            <w:r>
              <w:rPr>
                <w:rFonts w:hint="eastAsia" w:ascii="仿宋" w:hAnsi="仿宋" w:eastAsia="仿宋"/>
                <w:b/>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1</w:t>
            </w:r>
          </w:p>
        </w:tc>
        <w:tc>
          <w:tcPr>
            <w:tcW w:w="7421" w:type="dxa"/>
            <w:vAlign w:val="center"/>
          </w:tcPr>
          <w:p>
            <w:pPr>
              <w:rPr>
                <w:rFonts w:ascii="仿宋" w:hAnsi="仿宋" w:eastAsia="仿宋"/>
                <w:szCs w:val="32"/>
              </w:rPr>
            </w:pPr>
            <w:r>
              <w:rPr>
                <w:rFonts w:hint="eastAsia" w:ascii="仿宋" w:hAnsi="仿宋" w:eastAsia="仿宋"/>
                <w:szCs w:val="32"/>
              </w:rPr>
              <w:t>河南鑫安利职业健康科技有限公司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2</w:t>
            </w:r>
          </w:p>
        </w:tc>
        <w:tc>
          <w:tcPr>
            <w:tcW w:w="7421" w:type="dxa"/>
            <w:vAlign w:val="center"/>
          </w:tcPr>
          <w:p>
            <w:pPr>
              <w:rPr>
                <w:rFonts w:ascii="仿宋" w:hAnsi="仿宋" w:eastAsia="仿宋"/>
                <w:szCs w:val="32"/>
              </w:rPr>
            </w:pPr>
            <w:r>
              <w:rPr>
                <w:rFonts w:hint="eastAsia" w:ascii="仿宋" w:hAnsi="仿宋" w:eastAsia="仿宋"/>
                <w:szCs w:val="32"/>
              </w:rPr>
              <w:t>河南新网检测服务有限公司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3</w:t>
            </w:r>
          </w:p>
        </w:tc>
        <w:tc>
          <w:tcPr>
            <w:tcW w:w="7421" w:type="dxa"/>
            <w:vAlign w:val="center"/>
          </w:tcPr>
          <w:p>
            <w:pPr>
              <w:rPr>
                <w:rFonts w:ascii="仿宋" w:hAnsi="仿宋" w:eastAsia="仿宋"/>
                <w:szCs w:val="32"/>
              </w:rPr>
            </w:pPr>
            <w:r>
              <w:rPr>
                <w:rFonts w:hint="eastAsia" w:ascii="仿宋" w:hAnsi="仿宋" w:eastAsia="仿宋"/>
                <w:szCs w:val="32"/>
              </w:rPr>
              <w:t>河南华惠检测研究院有限公司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4</w:t>
            </w:r>
          </w:p>
        </w:tc>
        <w:tc>
          <w:tcPr>
            <w:tcW w:w="7421" w:type="dxa"/>
            <w:vAlign w:val="center"/>
          </w:tcPr>
          <w:p>
            <w:pPr>
              <w:rPr>
                <w:rFonts w:ascii="仿宋" w:hAnsi="仿宋" w:eastAsia="仿宋"/>
                <w:szCs w:val="32"/>
              </w:rPr>
            </w:pPr>
            <w:r>
              <w:rPr>
                <w:rFonts w:hint="eastAsia" w:ascii="仿宋" w:hAnsi="仿宋" w:eastAsia="仿宋"/>
                <w:szCs w:val="32"/>
              </w:rPr>
              <w:t>河南力隆质检技术服务有限公司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5</w:t>
            </w:r>
          </w:p>
        </w:tc>
        <w:tc>
          <w:tcPr>
            <w:tcW w:w="7421" w:type="dxa"/>
            <w:vAlign w:val="center"/>
          </w:tcPr>
          <w:p>
            <w:pPr>
              <w:rPr>
                <w:rFonts w:ascii="仿宋" w:hAnsi="仿宋" w:eastAsia="仿宋"/>
                <w:szCs w:val="32"/>
              </w:rPr>
            </w:pPr>
            <w:r>
              <w:rPr>
                <w:rFonts w:hint="eastAsia" w:ascii="仿宋" w:hAnsi="仿宋" w:eastAsia="仿宋"/>
                <w:szCs w:val="32"/>
              </w:rPr>
              <w:t>河南省中联检测技术有限公司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6</w:t>
            </w:r>
          </w:p>
        </w:tc>
        <w:tc>
          <w:tcPr>
            <w:tcW w:w="7421" w:type="dxa"/>
            <w:vAlign w:val="center"/>
          </w:tcPr>
          <w:p>
            <w:pPr>
              <w:rPr>
                <w:rFonts w:ascii="仿宋" w:hAnsi="仿宋" w:eastAsia="仿宋"/>
                <w:szCs w:val="32"/>
              </w:rPr>
            </w:pPr>
            <w:r>
              <w:rPr>
                <w:rFonts w:hint="eastAsia" w:ascii="仿宋" w:hAnsi="仿宋" w:eastAsia="仿宋"/>
                <w:szCs w:val="32"/>
              </w:rPr>
              <w:t>焦作市疾病预防控制中心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7</w:t>
            </w:r>
          </w:p>
        </w:tc>
        <w:tc>
          <w:tcPr>
            <w:tcW w:w="7421" w:type="dxa"/>
            <w:vAlign w:val="center"/>
          </w:tcPr>
          <w:p>
            <w:pPr>
              <w:rPr>
                <w:rFonts w:ascii="仿宋" w:hAnsi="仿宋" w:eastAsia="仿宋"/>
                <w:szCs w:val="32"/>
              </w:rPr>
            </w:pPr>
            <w:r>
              <w:rPr>
                <w:rFonts w:hint="eastAsia" w:ascii="仿宋" w:hAnsi="仿宋" w:eastAsia="仿宋"/>
                <w:szCs w:val="32"/>
              </w:rPr>
              <w:t>周口市疾病预防控制中心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8</w:t>
            </w:r>
          </w:p>
        </w:tc>
        <w:tc>
          <w:tcPr>
            <w:tcW w:w="7421" w:type="dxa"/>
            <w:vAlign w:val="center"/>
          </w:tcPr>
          <w:p>
            <w:pPr>
              <w:rPr>
                <w:rFonts w:ascii="仿宋" w:hAnsi="仿宋" w:eastAsia="仿宋"/>
                <w:szCs w:val="32"/>
              </w:rPr>
            </w:pPr>
            <w:r>
              <w:rPr>
                <w:rFonts w:hint="eastAsia" w:ascii="仿宋" w:hAnsi="仿宋" w:eastAsia="仿宋"/>
                <w:szCs w:val="32"/>
              </w:rPr>
              <w:t>鹤壁市疾病预防控制中心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9</w:t>
            </w:r>
          </w:p>
        </w:tc>
        <w:tc>
          <w:tcPr>
            <w:tcW w:w="7421" w:type="dxa"/>
            <w:vAlign w:val="center"/>
          </w:tcPr>
          <w:p>
            <w:pPr>
              <w:rPr>
                <w:rFonts w:ascii="仿宋" w:hAnsi="仿宋" w:eastAsia="仿宋"/>
                <w:szCs w:val="32"/>
              </w:rPr>
            </w:pPr>
            <w:r>
              <w:rPr>
                <w:rFonts w:hint="eastAsia" w:ascii="仿宋" w:hAnsi="仿宋" w:eastAsia="仿宋"/>
                <w:szCs w:val="32"/>
              </w:rPr>
              <w:t>河南恒辉检测技术有限公司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10</w:t>
            </w:r>
          </w:p>
        </w:tc>
        <w:tc>
          <w:tcPr>
            <w:tcW w:w="7421" w:type="dxa"/>
            <w:vAlign w:val="center"/>
          </w:tcPr>
          <w:p>
            <w:pPr>
              <w:rPr>
                <w:rFonts w:ascii="仿宋" w:hAnsi="仿宋" w:eastAsia="仿宋"/>
                <w:szCs w:val="32"/>
              </w:rPr>
            </w:pPr>
            <w:r>
              <w:rPr>
                <w:rFonts w:hint="eastAsia" w:ascii="仿宋" w:hAnsi="仿宋" w:eastAsia="仿宋"/>
                <w:szCs w:val="32"/>
              </w:rPr>
              <w:t>河南鑫联检测技术有限公司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11</w:t>
            </w:r>
          </w:p>
        </w:tc>
        <w:tc>
          <w:tcPr>
            <w:tcW w:w="7421" w:type="dxa"/>
            <w:vAlign w:val="center"/>
          </w:tcPr>
          <w:p>
            <w:pPr>
              <w:rPr>
                <w:rFonts w:ascii="仿宋" w:hAnsi="仿宋" w:eastAsia="仿宋"/>
                <w:szCs w:val="32"/>
              </w:rPr>
            </w:pPr>
            <w:r>
              <w:rPr>
                <w:rFonts w:hint="eastAsia" w:ascii="仿宋" w:hAnsi="仿宋" w:eastAsia="仿宋"/>
                <w:szCs w:val="32"/>
              </w:rPr>
              <w:t>河南维信达放射卫生技术服务有限公司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12</w:t>
            </w:r>
          </w:p>
        </w:tc>
        <w:tc>
          <w:tcPr>
            <w:tcW w:w="7421" w:type="dxa"/>
            <w:vAlign w:val="center"/>
          </w:tcPr>
          <w:p>
            <w:pPr>
              <w:rPr>
                <w:rFonts w:ascii="仿宋" w:hAnsi="仿宋" w:eastAsia="仿宋"/>
                <w:szCs w:val="32"/>
              </w:rPr>
            </w:pPr>
            <w:r>
              <w:rPr>
                <w:rFonts w:hint="eastAsia" w:ascii="仿宋" w:hAnsi="仿宋" w:eastAsia="仿宋"/>
                <w:szCs w:val="32"/>
              </w:rPr>
              <w:t>郑州市职业病防治院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13</w:t>
            </w:r>
          </w:p>
        </w:tc>
        <w:tc>
          <w:tcPr>
            <w:tcW w:w="7421" w:type="dxa"/>
            <w:vAlign w:val="center"/>
          </w:tcPr>
          <w:p>
            <w:pPr>
              <w:rPr>
                <w:rFonts w:ascii="仿宋" w:hAnsi="仿宋" w:eastAsia="仿宋"/>
                <w:szCs w:val="32"/>
              </w:rPr>
            </w:pPr>
            <w:r>
              <w:rPr>
                <w:rFonts w:hint="eastAsia" w:ascii="仿宋" w:hAnsi="仿宋" w:eastAsia="仿宋"/>
                <w:szCs w:val="32"/>
              </w:rPr>
              <w:t>河南君立德检测技术服务有限公司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14</w:t>
            </w:r>
          </w:p>
        </w:tc>
        <w:tc>
          <w:tcPr>
            <w:tcW w:w="7421" w:type="dxa"/>
            <w:vAlign w:val="center"/>
          </w:tcPr>
          <w:p>
            <w:pPr>
              <w:rPr>
                <w:rFonts w:ascii="仿宋" w:hAnsi="仿宋" w:eastAsia="仿宋"/>
                <w:szCs w:val="32"/>
              </w:rPr>
            </w:pPr>
            <w:r>
              <w:rPr>
                <w:rFonts w:hint="eastAsia" w:ascii="仿宋" w:hAnsi="仿宋" w:eastAsia="仿宋"/>
                <w:szCs w:val="32"/>
              </w:rPr>
              <w:t>河南正大检测研究院有限公司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Pr>
          <w:p>
            <w:pPr>
              <w:jc w:val="center"/>
              <w:rPr>
                <w:rFonts w:ascii="仿宋" w:hAnsi="仿宋" w:eastAsia="仿宋"/>
              </w:rPr>
            </w:pPr>
            <w:r>
              <w:rPr>
                <w:rFonts w:ascii="仿宋" w:hAnsi="仿宋" w:eastAsia="仿宋"/>
              </w:rPr>
              <w:t>15</w:t>
            </w:r>
          </w:p>
        </w:tc>
        <w:tc>
          <w:tcPr>
            <w:tcW w:w="7421" w:type="dxa"/>
            <w:vAlign w:val="center"/>
          </w:tcPr>
          <w:p>
            <w:pPr>
              <w:rPr>
                <w:rFonts w:ascii="仿宋" w:hAnsi="仿宋" w:eastAsia="仿宋"/>
                <w:szCs w:val="32"/>
              </w:rPr>
            </w:pPr>
            <w:r>
              <w:rPr>
                <w:rFonts w:hint="eastAsia" w:ascii="仿宋" w:hAnsi="仿宋" w:eastAsia="仿宋"/>
                <w:szCs w:val="32"/>
              </w:rPr>
              <w:t>漯河市疾病预防控制中心</w:t>
            </w:r>
          </w:p>
        </w:tc>
      </w:tr>
    </w:tbl>
    <w:p>
      <w:pPr>
        <w:pStyle w:val="2"/>
        <w:widowControl/>
        <w:ind w:firstLine="0" w:firstLineChars="0"/>
        <w:jc w:val="both"/>
        <w:rPr>
          <w:rFonts w:ascii="仿宋" w:hAnsi="仿宋" w:eastAsia="仿宋" w:cs="仿宋"/>
          <w:kern w:val="0"/>
          <w:sz w:val="44"/>
          <w:szCs w:val="44"/>
        </w:rPr>
      </w:pPr>
    </w:p>
    <w:p>
      <w:pPr>
        <w:pStyle w:val="2"/>
        <w:ind w:firstLine="0" w:firstLineChars="0"/>
        <w:rPr>
          <w:rFonts w:ascii="仿宋_GB2312" w:hAnsi="黑体" w:cs="黑体"/>
          <w:bCs/>
          <w:szCs w:val="32"/>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2"/>
        <w:ind w:firstLine="0" w:firstLineChars="0"/>
        <w:outlineLvl w:val="0"/>
        <w:rPr>
          <w:rFonts w:ascii="黑体" w:hAnsi="黑体" w:eastAsia="黑体" w:cs="黑体"/>
          <w:bCs/>
          <w:szCs w:val="32"/>
        </w:rPr>
      </w:pPr>
      <w:r>
        <w:rPr>
          <w:rFonts w:hint="eastAsia" w:ascii="黑体" w:hAnsi="黑体" w:eastAsia="黑体" w:cs="黑体"/>
          <w:bCs/>
          <w:szCs w:val="32"/>
        </w:rPr>
        <w:t>附录2</w:t>
      </w:r>
    </w:p>
    <w:p>
      <w:pPr>
        <w:spacing w:line="360" w:lineRule="auto"/>
        <w:ind w:firstLine="883"/>
        <w:jc w:val="center"/>
        <w:rPr>
          <w:rFonts w:ascii="仿宋_GB2312" w:hAnsi="华文中宋" w:cs="华文中宋"/>
          <w:b/>
          <w:bCs/>
          <w:kern w:val="0"/>
          <w:sz w:val="44"/>
          <w:szCs w:val="44"/>
        </w:rPr>
      </w:pPr>
      <w:r>
        <w:rPr>
          <w:rFonts w:hint="eastAsia" w:ascii="方正小标宋简体" w:hAnsi="方正小标宋简体" w:eastAsia="方正小标宋简体" w:cs="方正小标宋简体"/>
          <w:b/>
          <w:bCs/>
          <w:kern w:val="0"/>
          <w:szCs w:val="32"/>
        </w:rPr>
        <w:t>放射卫生技术服务机构评估检查表</w:t>
      </w:r>
    </w:p>
    <w:p>
      <w:pPr>
        <w:spacing w:line="360" w:lineRule="auto"/>
        <w:ind w:firstLine="482"/>
        <w:rPr>
          <w:rFonts w:ascii="仿宋" w:hAnsi="仿宋" w:eastAsia="仿宋" w:cs="仿宋"/>
          <w:b/>
          <w:bCs/>
          <w:sz w:val="24"/>
          <w:u w:val="single"/>
        </w:rPr>
      </w:pPr>
      <w:r>
        <w:rPr>
          <w:rFonts w:hint="eastAsia" w:ascii="仿宋" w:hAnsi="仿宋" w:eastAsia="仿宋" w:cs="仿宋"/>
          <w:b/>
          <w:bCs/>
          <w:sz w:val="24"/>
        </w:rPr>
        <w:t>放射卫生技术服务机构名称：                                                         机构注册地：</w:t>
      </w:r>
    </w:p>
    <w:p>
      <w:pPr>
        <w:spacing w:line="360" w:lineRule="auto"/>
        <w:ind w:firstLine="482"/>
        <w:rPr>
          <w:rFonts w:ascii="仿宋" w:hAnsi="仿宋" w:eastAsia="仿宋" w:cs="仿宋"/>
          <w:b/>
          <w:bCs/>
          <w:sz w:val="24"/>
        </w:rPr>
      </w:pPr>
      <w:r>
        <w:rPr>
          <w:rFonts w:hint="eastAsia" w:ascii="仿宋" w:hAnsi="仿宋" w:eastAsia="仿宋" w:cs="仿宋"/>
          <w:b/>
          <w:bCs/>
          <w:sz w:val="24"/>
        </w:rPr>
        <w:t>检测报告编号：                                                                     医疗机构名称：</w:t>
      </w:r>
    </w:p>
    <w:tbl>
      <w:tblPr>
        <w:tblStyle w:val="8"/>
        <w:tblW w:w="15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719"/>
        <w:gridCol w:w="3210"/>
        <w:gridCol w:w="4619"/>
        <w:gridCol w:w="2504"/>
        <w:gridCol w:w="850"/>
        <w:gridCol w:w="784"/>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709"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bookmarkStart w:id="0" w:name="OLE_LINK4" w:colFirst="5" w:colLast="5"/>
            <w:bookmarkStart w:id="1" w:name="OLE_LINK5" w:colFirst="5" w:colLast="5"/>
            <w:bookmarkStart w:id="2" w:name="OLE_LINK6" w:colFirst="5" w:colLast="5"/>
            <w:r>
              <w:rPr>
                <w:rFonts w:hint="eastAsia" w:ascii="仿宋" w:hAnsi="仿宋" w:eastAsia="仿宋" w:cs="仿宋"/>
                <w:b/>
                <w:bCs/>
                <w:sz w:val="21"/>
                <w:szCs w:val="21"/>
              </w:rPr>
              <w:t>检查</w:t>
            </w:r>
          </w:p>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内容</w:t>
            </w:r>
          </w:p>
        </w:tc>
        <w:tc>
          <w:tcPr>
            <w:tcW w:w="719"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指标分类</w:t>
            </w: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检查指标</w:t>
            </w:r>
          </w:p>
        </w:tc>
        <w:tc>
          <w:tcPr>
            <w:tcW w:w="4619"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sz w:val="21"/>
                <w:szCs w:val="21"/>
              </w:rPr>
            </w:pPr>
            <w:r>
              <w:rPr>
                <w:rFonts w:hint="eastAsia" w:ascii="仿宋" w:hAnsi="仿宋" w:eastAsia="仿宋" w:cs="仿宋"/>
                <w:b/>
                <w:sz w:val="21"/>
                <w:szCs w:val="21"/>
              </w:rPr>
              <w:t>检查方法及内容</w:t>
            </w:r>
          </w:p>
        </w:tc>
        <w:tc>
          <w:tcPr>
            <w:tcW w:w="2504"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sz w:val="21"/>
                <w:szCs w:val="21"/>
              </w:rPr>
            </w:pPr>
            <w:r>
              <w:rPr>
                <w:rFonts w:hint="eastAsia" w:ascii="仿宋" w:hAnsi="仿宋" w:eastAsia="仿宋" w:cs="仿宋"/>
                <w:b/>
                <w:bCs/>
                <w:sz w:val="21"/>
                <w:szCs w:val="21"/>
              </w:rPr>
              <w:t>评分细则*</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sz w:val="21"/>
                <w:szCs w:val="21"/>
              </w:rPr>
            </w:pPr>
            <w:r>
              <w:rPr>
                <w:rFonts w:hint="eastAsia" w:ascii="仿宋" w:hAnsi="仿宋" w:eastAsia="仿宋" w:cs="仿宋"/>
                <w:b/>
                <w:sz w:val="21"/>
                <w:szCs w:val="21"/>
              </w:rPr>
              <w:t>分值（分）</w:t>
            </w:r>
          </w:p>
        </w:tc>
        <w:tc>
          <w:tcPr>
            <w:tcW w:w="784"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sz w:val="21"/>
                <w:szCs w:val="21"/>
              </w:rPr>
            </w:pPr>
            <w:r>
              <w:rPr>
                <w:rFonts w:hint="eastAsia" w:ascii="仿宋" w:hAnsi="仿宋" w:eastAsia="仿宋" w:cs="仿宋"/>
                <w:b/>
                <w:sz w:val="21"/>
                <w:szCs w:val="21"/>
              </w:rPr>
              <w:t>得分（分）</w:t>
            </w:r>
          </w:p>
        </w:tc>
        <w:tc>
          <w:tcPr>
            <w:tcW w:w="1725"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sz w:val="21"/>
                <w:szCs w:val="21"/>
              </w:rPr>
            </w:pPr>
            <w:r>
              <w:rPr>
                <w:rFonts w:hint="eastAsia" w:ascii="仿宋" w:hAnsi="仿宋" w:eastAsia="仿宋" w:cs="仿宋"/>
                <w:b/>
                <w:sz w:val="21"/>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709" w:type="dxa"/>
            <w:vMerge w:val="restart"/>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一、资质条件保持和符合性</w:t>
            </w:r>
          </w:p>
        </w:tc>
        <w:tc>
          <w:tcPr>
            <w:tcW w:w="719" w:type="dxa"/>
            <w:vMerge w:val="restart"/>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（一）基本条件</w:t>
            </w: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bCs/>
                <w:sz w:val="21"/>
                <w:szCs w:val="21"/>
              </w:rPr>
              <w:t>1.★能够独立承担民事责任</w:t>
            </w:r>
          </w:p>
        </w:tc>
        <w:tc>
          <w:tcPr>
            <w:tcW w:w="4619" w:type="dxa"/>
            <w:vAlign w:val="center"/>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sz w:val="21"/>
                <w:szCs w:val="21"/>
              </w:rPr>
              <w:t>查阅法人资格证明材料原件和资质证书，核实：</w:t>
            </w:r>
          </w:p>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sz w:val="21"/>
                <w:szCs w:val="21"/>
              </w:rPr>
              <w:t>法人资格证明材料与资质证书的法定代表人、住所等信息是否一致。</w:t>
            </w:r>
          </w:p>
        </w:tc>
        <w:tc>
          <w:tcPr>
            <w:tcW w:w="2504" w:type="dxa"/>
            <w:vAlign w:val="center"/>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color w:val="000000"/>
                <w:kern w:val="0"/>
                <w:sz w:val="21"/>
                <w:szCs w:val="21"/>
              </w:rPr>
              <w:t>发现不符合的，纳入</w:t>
            </w:r>
            <w:r>
              <w:rPr>
                <w:rFonts w:hint="eastAsia" w:ascii="仿宋" w:hAnsi="仿宋" w:eastAsia="仿宋" w:cs="仿宋"/>
                <w:sz w:val="21"/>
                <w:szCs w:val="21"/>
              </w:rPr>
              <w:t>C</w:t>
            </w:r>
            <w:r>
              <w:rPr>
                <w:rFonts w:hint="eastAsia" w:ascii="仿宋" w:hAnsi="仿宋" w:eastAsia="仿宋" w:cs="仿宋"/>
                <w:color w:val="000000"/>
                <w:kern w:val="0"/>
                <w:sz w:val="21"/>
                <w:szCs w:val="21"/>
              </w:rPr>
              <w:t>级。</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jc w:val="center"/>
        </w:trPr>
        <w:tc>
          <w:tcPr>
            <w:tcW w:w="70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b/>
                <w:bCs/>
                <w:sz w:val="21"/>
                <w:szCs w:val="21"/>
              </w:rPr>
            </w:pP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sz w:val="21"/>
                <w:szCs w:val="21"/>
              </w:rPr>
              <w:t>2.★具有固定的办公和实验场所</w:t>
            </w:r>
          </w:p>
        </w:tc>
        <w:tc>
          <w:tcPr>
            <w:tcW w:w="4619" w:type="dxa"/>
            <w:vAlign w:val="center"/>
          </w:tcPr>
          <w:p>
            <w:pPr>
              <w:keepNext w:val="0"/>
              <w:keepLines w:val="0"/>
              <w:pageBreakBefore w:val="0"/>
              <w:kinsoku/>
              <w:wordWrap/>
              <w:overflowPunct/>
              <w:topLinePunct w:val="0"/>
              <w:autoSpaceDN/>
              <w:bidi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查阅房产证或房屋租赁合同，核实：</w:t>
            </w:r>
          </w:p>
          <w:p>
            <w:pPr>
              <w:keepNext w:val="0"/>
              <w:keepLines w:val="0"/>
              <w:pageBreakBefore w:val="0"/>
              <w:kinsoku/>
              <w:wordWrap/>
              <w:overflowPunct/>
              <w:topLinePunct w:val="0"/>
              <w:autoSpaceDN/>
              <w:bidi w:val="0"/>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1.机构是否有固定工作场所，工</w:t>
            </w:r>
            <w:r>
              <w:rPr>
                <w:rFonts w:hint="eastAsia" w:ascii="仿宋" w:hAnsi="仿宋" w:eastAsia="仿宋" w:cs="仿宋"/>
                <w:bCs/>
                <w:sz w:val="21"/>
                <w:szCs w:val="21"/>
              </w:rPr>
              <w:t>作场所面积是否满足实际工作需要</w:t>
            </w:r>
            <w:r>
              <w:rPr>
                <w:rFonts w:hint="eastAsia" w:ascii="仿宋" w:hAnsi="仿宋" w:eastAsia="仿宋" w:cs="仿宋"/>
                <w:kern w:val="0"/>
                <w:sz w:val="21"/>
                <w:szCs w:val="21"/>
              </w:rPr>
              <w:t>；</w:t>
            </w:r>
          </w:p>
          <w:p>
            <w:pPr>
              <w:keepNext w:val="0"/>
              <w:keepLines w:val="0"/>
              <w:pageBreakBefore w:val="0"/>
              <w:kinsoku/>
              <w:wordWrap/>
              <w:overflowPunct/>
              <w:topLinePunct w:val="0"/>
              <w:autoSpaceDN/>
              <w:bidi w:val="0"/>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2.实验室地址是否与资质证书记载的信息一致；</w:t>
            </w:r>
          </w:p>
          <w:p>
            <w:pPr>
              <w:keepNext w:val="0"/>
              <w:keepLines w:val="0"/>
              <w:pageBreakBefore w:val="0"/>
              <w:kinsoku/>
              <w:wordWrap/>
              <w:overflowPunct/>
              <w:topLinePunct w:val="0"/>
              <w:autoSpaceDN/>
              <w:bidi w:val="0"/>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3.</w:t>
            </w:r>
            <w:r>
              <w:rPr>
                <w:rFonts w:hint="eastAsia" w:ascii="仿宋" w:hAnsi="仿宋" w:eastAsia="仿宋" w:cs="仿宋"/>
                <w:sz w:val="21"/>
                <w:szCs w:val="21"/>
              </w:rPr>
              <w:t>是否设置与所获批资质、业务范围相适应的实验室。</w:t>
            </w:r>
          </w:p>
        </w:tc>
        <w:tc>
          <w:tcPr>
            <w:tcW w:w="2504" w:type="dxa"/>
            <w:vAlign w:val="center"/>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color w:val="000000"/>
                <w:kern w:val="0"/>
                <w:sz w:val="21"/>
                <w:szCs w:val="21"/>
              </w:rPr>
              <w:t>发现不符合的，纳入</w:t>
            </w:r>
            <w:r>
              <w:rPr>
                <w:rFonts w:hint="eastAsia" w:ascii="仿宋" w:hAnsi="仿宋" w:eastAsia="仿宋" w:cs="仿宋"/>
                <w:sz w:val="21"/>
                <w:szCs w:val="21"/>
              </w:rPr>
              <w:t>C</w:t>
            </w:r>
            <w:r>
              <w:rPr>
                <w:rFonts w:hint="eastAsia" w:ascii="仿宋" w:hAnsi="仿宋" w:eastAsia="仿宋" w:cs="仿宋"/>
                <w:color w:val="000000"/>
                <w:kern w:val="0"/>
                <w:sz w:val="21"/>
                <w:szCs w:val="21"/>
              </w:rPr>
              <w:t>级。</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70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b/>
                <w:bCs/>
                <w:sz w:val="21"/>
                <w:szCs w:val="21"/>
              </w:rPr>
            </w:pP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kern w:val="0"/>
                <w:sz w:val="21"/>
                <w:szCs w:val="21"/>
              </w:rPr>
              <w:t>具有相应资质、业务范围所规定的仪器设备</w:t>
            </w:r>
          </w:p>
        </w:tc>
        <w:tc>
          <w:tcPr>
            <w:tcW w:w="4619" w:type="dxa"/>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kern w:val="0"/>
                <w:sz w:val="21"/>
                <w:szCs w:val="21"/>
              </w:rPr>
            </w:pPr>
            <w:r>
              <w:rPr>
                <w:rFonts w:hint="eastAsia" w:ascii="仿宋" w:hAnsi="仿宋" w:eastAsia="仿宋" w:cs="仿宋"/>
                <w:kern w:val="0"/>
                <w:sz w:val="21"/>
                <w:szCs w:val="21"/>
              </w:rPr>
              <w:t>查阅仪器设备台账及购置凭证，核实：</w:t>
            </w:r>
          </w:p>
          <w:p>
            <w:pPr>
              <w:keepNext w:val="0"/>
              <w:keepLines w:val="0"/>
              <w:pageBreakBefore w:val="0"/>
              <w:kinsoku/>
              <w:wordWrap/>
              <w:overflowPunct/>
              <w:topLinePunct w:val="0"/>
              <w:autoSpaceDN/>
              <w:bidi w:val="0"/>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配备的实验室检测及现场采样/测量仪器设备的种类、数量是否满足资质条件要求。</w:t>
            </w:r>
          </w:p>
        </w:tc>
        <w:tc>
          <w:tcPr>
            <w:tcW w:w="2504" w:type="dxa"/>
            <w:vAlign w:val="center"/>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color w:val="000000"/>
                <w:kern w:val="0"/>
                <w:sz w:val="21"/>
                <w:szCs w:val="21"/>
              </w:rPr>
              <w:t>发现不符合的，纳入</w:t>
            </w:r>
            <w:r>
              <w:rPr>
                <w:rFonts w:hint="eastAsia" w:ascii="仿宋" w:hAnsi="仿宋" w:eastAsia="仿宋" w:cs="仿宋"/>
                <w:sz w:val="21"/>
                <w:szCs w:val="21"/>
              </w:rPr>
              <w:t>C</w:t>
            </w:r>
            <w:r>
              <w:rPr>
                <w:rFonts w:hint="eastAsia" w:ascii="仿宋" w:hAnsi="仿宋" w:eastAsia="仿宋" w:cs="仿宋"/>
                <w:color w:val="000000"/>
                <w:kern w:val="0"/>
                <w:sz w:val="21"/>
                <w:szCs w:val="21"/>
              </w:rPr>
              <w:t>级。</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70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b/>
                <w:bCs/>
                <w:sz w:val="21"/>
                <w:szCs w:val="21"/>
              </w:rPr>
            </w:pP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kern w:val="0"/>
                <w:sz w:val="21"/>
                <w:szCs w:val="21"/>
              </w:rPr>
              <w:t>具有满足要求的</w:t>
            </w:r>
            <w:r>
              <w:rPr>
                <w:rFonts w:hint="eastAsia" w:ascii="仿宋" w:hAnsi="仿宋" w:eastAsia="仿宋" w:cs="仿宋"/>
                <w:sz w:val="21"/>
                <w:szCs w:val="21"/>
              </w:rPr>
              <w:t>各类专业技术人员</w:t>
            </w:r>
          </w:p>
        </w:tc>
        <w:tc>
          <w:tcPr>
            <w:tcW w:w="4619" w:type="dxa"/>
            <w:vAlign w:val="center"/>
          </w:tcPr>
          <w:p>
            <w:pPr>
              <w:keepNext w:val="0"/>
              <w:keepLines w:val="0"/>
              <w:pageBreakBefore w:val="0"/>
              <w:kinsoku/>
              <w:wordWrap/>
              <w:overflowPunct/>
              <w:topLinePunct w:val="0"/>
              <w:autoSpaceDN/>
              <w:bidi w:val="0"/>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查阅职业卫生技术服务机构管理信息系统中机构通过考核的放射卫生专业技术人员名单，并查阅职称证书和社保/公积金缴纳等在职证明材料，核实：</w:t>
            </w:r>
          </w:p>
          <w:p>
            <w:pPr>
              <w:keepNext w:val="0"/>
              <w:keepLines w:val="0"/>
              <w:pageBreakBefore w:val="0"/>
              <w:kinsoku/>
              <w:wordWrap/>
              <w:overflowPunct/>
              <w:topLinePunct w:val="0"/>
              <w:autoSpaceDN/>
              <w:bidi w:val="0"/>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1.取得放射诊疗建设项目职业病危害放射防护评价甲级资质的，放射卫生专业技术负责人应当具有高级技术职称，从事相关专业工作5年以上，是本单位职工且未在其他放射卫生技术服务机构中任职。高级技术职称人员不少于3人，中级以上技术职称的人数不少于总数的60%，技术人员总数不少于10人。</w:t>
            </w:r>
          </w:p>
          <w:p>
            <w:pPr>
              <w:keepNext w:val="0"/>
              <w:keepLines w:val="0"/>
              <w:pageBreakBefore w:val="0"/>
              <w:kinsoku/>
              <w:wordWrap/>
              <w:overflowPunct/>
              <w:topLinePunct w:val="0"/>
              <w:autoSpaceDN/>
              <w:bidi w:val="0"/>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2.取得放射防护器材和含放射性产品检测资质的，放射卫生专业技术负责人应当具有高级专业技术职称，从事相关专业工作5年以上，是本单位职工且未在其他放射卫生技术服务机构中任职。高级技术职称人员不少于2人，中级以上技术职称的人数不少于总数的40%，技术人员总数不少于7人。</w:t>
            </w:r>
          </w:p>
          <w:p>
            <w:pPr>
              <w:keepNext w:val="0"/>
              <w:keepLines w:val="0"/>
              <w:pageBreakBefore w:val="0"/>
              <w:kinsoku/>
              <w:wordWrap/>
              <w:overflowPunct/>
              <w:topLinePunct w:val="0"/>
              <w:autoSpaceDN/>
              <w:bidi w:val="0"/>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3.取得放射诊疗建设项目职业病危害放射防护评价乙级资质的，放射卫生专业技术负责人应当具有高级专业技术职称，从事相关专业工作5年以上，是本单位职工且未在其他放射卫生技术服务机构中任职。中级以上技术职称人数不少于3人，技术人员总数不少于5人。</w:t>
            </w:r>
          </w:p>
          <w:p>
            <w:pPr>
              <w:keepNext w:val="0"/>
              <w:keepLines w:val="0"/>
              <w:pageBreakBefore w:val="0"/>
              <w:kinsoku/>
              <w:wordWrap/>
              <w:overflowPunct/>
              <w:topLinePunct w:val="0"/>
              <w:autoSpaceDN/>
              <w:bidi w:val="0"/>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4.取得放射卫生防护检测资质的，放射卫生专业技术负责人应当具有中级以上专业技术职称，从事相关专业工作3年以上，是本单位职工且未在其他放射卫生技术服务机构中任职。中级以上技术职称人数不少于2人，技术人员总数不少于5人。</w:t>
            </w:r>
          </w:p>
          <w:p>
            <w:pPr>
              <w:keepNext w:val="0"/>
              <w:keepLines w:val="0"/>
              <w:pageBreakBefore w:val="0"/>
              <w:kinsoku/>
              <w:wordWrap/>
              <w:overflowPunct/>
              <w:topLinePunct w:val="0"/>
              <w:autoSpaceDN/>
              <w:bidi w:val="0"/>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5.取得个人剂量监测资质的，放射卫生专业技术负责人应当具有中级以上专业技术职称，从事相关专业工作3年以上，是本单位职工且未在其他放射卫生技术服务机构中任职。放射卫生技术人员总数不少于3人。</w:t>
            </w:r>
          </w:p>
        </w:tc>
        <w:tc>
          <w:tcPr>
            <w:tcW w:w="2504" w:type="dxa"/>
            <w:vAlign w:val="center"/>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color w:val="000000"/>
                <w:kern w:val="0"/>
                <w:sz w:val="21"/>
                <w:szCs w:val="21"/>
              </w:rPr>
              <w:t>发现不符合的，纳入</w:t>
            </w:r>
            <w:r>
              <w:rPr>
                <w:rFonts w:hint="eastAsia" w:ascii="仿宋" w:hAnsi="仿宋" w:eastAsia="仿宋" w:cs="仿宋"/>
                <w:sz w:val="21"/>
                <w:szCs w:val="21"/>
              </w:rPr>
              <w:t>C</w:t>
            </w:r>
            <w:r>
              <w:rPr>
                <w:rFonts w:hint="eastAsia" w:ascii="仿宋" w:hAnsi="仿宋" w:eastAsia="仿宋" w:cs="仿宋"/>
                <w:color w:val="000000"/>
                <w:kern w:val="0"/>
                <w:sz w:val="21"/>
                <w:szCs w:val="21"/>
              </w:rPr>
              <w:t>级。</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jc w:val="center"/>
        </w:trPr>
        <w:tc>
          <w:tcPr>
            <w:tcW w:w="70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（二）环境条件</w:t>
            </w: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5.各类用房符合要求</w:t>
            </w:r>
          </w:p>
        </w:tc>
        <w:tc>
          <w:tcPr>
            <w:tcW w:w="4619" w:type="dxa"/>
            <w:vAlign w:val="center"/>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bCs/>
                <w:sz w:val="21"/>
                <w:szCs w:val="21"/>
              </w:rPr>
              <w:t>现场核查机构的房产证或房屋租赁合同，机构的各类用房的设置、布局、环境等，核实：</w:t>
            </w:r>
          </w:p>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1.实验室及现场仪器设备室具有良好的内务管理，整洁有序。</w:t>
            </w:r>
          </w:p>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2.仪器设备放置是否合理，是否配备必要的防污染、防潮、防火、防盗等设施和措施。</w:t>
            </w:r>
          </w:p>
        </w:tc>
        <w:tc>
          <w:tcPr>
            <w:tcW w:w="2504" w:type="dxa"/>
            <w:vAlign w:val="center"/>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bCs/>
                <w:sz w:val="21"/>
                <w:szCs w:val="21"/>
              </w:rPr>
            </w:pPr>
            <w:r>
              <w:rPr>
                <w:rFonts w:hint="eastAsia" w:ascii="仿宋" w:hAnsi="仿宋" w:eastAsia="仿宋" w:cs="仿宋"/>
                <w:bCs/>
                <w:sz w:val="21"/>
                <w:szCs w:val="21"/>
              </w:rPr>
              <w:t>发现1</w:t>
            </w:r>
            <w:r>
              <w:rPr>
                <w:rFonts w:hint="eastAsia" w:ascii="仿宋" w:hAnsi="仿宋" w:eastAsia="仿宋" w:cs="仿宋"/>
                <w:bCs/>
                <w:sz w:val="21"/>
                <w:szCs w:val="21"/>
                <w:lang w:eastAsia="zh-Hans"/>
              </w:rPr>
              <w:t>处</w:t>
            </w:r>
            <w:r>
              <w:rPr>
                <w:rFonts w:hint="eastAsia" w:ascii="仿宋" w:hAnsi="仿宋" w:eastAsia="仿宋" w:cs="仿宋"/>
                <w:bCs/>
                <w:sz w:val="21"/>
                <w:szCs w:val="21"/>
              </w:rPr>
              <w:t>不符合要求的，扣0.5分。</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2</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atLeast"/>
          <w:jc w:val="center"/>
        </w:trPr>
        <w:tc>
          <w:tcPr>
            <w:tcW w:w="70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Merge w:val="restart"/>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（三）仪器设备配备</w:t>
            </w: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6.</w:t>
            </w:r>
            <w:r>
              <w:rPr>
                <w:rFonts w:hint="eastAsia" w:ascii="仿宋" w:hAnsi="仿宋" w:eastAsia="仿宋" w:cs="仿宋"/>
                <w:kern w:val="0"/>
                <w:sz w:val="21"/>
                <w:szCs w:val="21"/>
              </w:rPr>
              <w:t>仪器设备性能参数满足要求</w:t>
            </w:r>
          </w:p>
        </w:tc>
        <w:tc>
          <w:tcPr>
            <w:tcW w:w="4619" w:type="dxa"/>
            <w:vAlign w:val="center"/>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bCs/>
                <w:sz w:val="21"/>
                <w:szCs w:val="21"/>
              </w:rPr>
              <w:t>抽查至少5台检测设备</w:t>
            </w:r>
            <w:r>
              <w:rPr>
                <w:rFonts w:hint="eastAsia" w:ascii="仿宋" w:hAnsi="仿宋" w:eastAsia="仿宋" w:cs="仿宋"/>
                <w:bCs/>
                <w:kern w:val="0"/>
                <w:sz w:val="21"/>
                <w:szCs w:val="21"/>
              </w:rPr>
              <w:t>（少于5台的全部核查），核</w:t>
            </w:r>
            <w:r>
              <w:rPr>
                <w:rFonts w:hint="eastAsia" w:ascii="仿宋" w:hAnsi="仿宋" w:eastAsia="仿宋" w:cs="仿宋"/>
                <w:sz w:val="21"/>
                <w:szCs w:val="21"/>
              </w:rPr>
              <w:t>实：</w:t>
            </w:r>
          </w:p>
          <w:p>
            <w:pPr>
              <w:keepNext w:val="0"/>
              <w:keepLines w:val="0"/>
              <w:pageBreakBefore w:val="0"/>
              <w:kinsoku/>
              <w:wordWrap/>
              <w:overflowPunct/>
              <w:topLinePunct w:val="0"/>
              <w:autoSpaceDN/>
              <w:bidi w:val="0"/>
              <w:adjustRightInd w:val="0"/>
              <w:spacing w:line="240" w:lineRule="exact"/>
              <w:jc w:val="left"/>
              <w:textAlignment w:val="auto"/>
              <w:rPr>
                <w:rFonts w:ascii="仿宋" w:hAnsi="仿宋" w:eastAsia="仿宋" w:cs="仿宋"/>
                <w:kern w:val="0"/>
                <w:sz w:val="21"/>
                <w:szCs w:val="21"/>
              </w:rPr>
            </w:pPr>
            <w:r>
              <w:rPr>
                <w:rFonts w:hint="eastAsia" w:ascii="仿宋" w:hAnsi="仿宋" w:eastAsia="仿宋" w:cs="仿宋"/>
                <w:sz w:val="21"/>
                <w:szCs w:val="21"/>
              </w:rPr>
              <w:t>仪器设备及其配套设施的性能、量程、精度等技术指标是否满足检测标准方法的要求。</w:t>
            </w:r>
          </w:p>
        </w:tc>
        <w:tc>
          <w:tcPr>
            <w:tcW w:w="2504" w:type="dxa"/>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Cs/>
                <w:kern w:val="0"/>
                <w:sz w:val="21"/>
                <w:szCs w:val="21"/>
              </w:rPr>
            </w:pPr>
            <w:r>
              <w:rPr>
                <w:rFonts w:hint="eastAsia" w:ascii="仿宋" w:hAnsi="仿宋" w:eastAsia="仿宋" w:cs="仿宋"/>
                <w:bCs/>
                <w:kern w:val="0"/>
                <w:sz w:val="21"/>
                <w:szCs w:val="21"/>
              </w:rPr>
              <w:t>每发现1种设备不满足要求的，扣0.5分</w:t>
            </w:r>
            <w:r>
              <w:rPr>
                <w:rFonts w:hint="eastAsia" w:ascii="仿宋" w:hAnsi="仿宋" w:eastAsia="仿宋" w:cs="仿宋"/>
                <w:bCs/>
                <w:sz w:val="21"/>
                <w:szCs w:val="21"/>
              </w:rPr>
              <w:t>。</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2</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7" w:hRule="atLeast"/>
          <w:jc w:val="center"/>
        </w:trPr>
        <w:tc>
          <w:tcPr>
            <w:tcW w:w="70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7.</w:t>
            </w:r>
            <w:r>
              <w:rPr>
                <w:rFonts w:hint="eastAsia" w:ascii="仿宋" w:hAnsi="仿宋" w:eastAsia="仿宋" w:cs="仿宋"/>
                <w:kern w:val="0"/>
                <w:sz w:val="21"/>
                <w:szCs w:val="21"/>
              </w:rPr>
              <w:t>▲</w:t>
            </w:r>
            <w:r>
              <w:rPr>
                <w:rFonts w:hint="eastAsia" w:ascii="仿宋" w:hAnsi="仿宋" w:eastAsia="仿宋" w:cs="仿宋"/>
                <w:sz w:val="21"/>
                <w:szCs w:val="21"/>
              </w:rPr>
              <w:t>仪器设备检定/校准符合要求。</w:t>
            </w:r>
          </w:p>
        </w:tc>
        <w:tc>
          <w:tcPr>
            <w:tcW w:w="4619" w:type="dxa"/>
            <w:vAlign w:val="center"/>
          </w:tcPr>
          <w:p>
            <w:pPr>
              <w:keepNext w:val="0"/>
              <w:keepLines w:val="0"/>
              <w:pageBreakBefore w:val="0"/>
              <w:kinsoku/>
              <w:wordWrap/>
              <w:overflowPunct/>
              <w:topLinePunct w:val="0"/>
              <w:autoSpaceDN/>
              <w:bidi w:val="0"/>
              <w:adjustRightIn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针对抽查的仪器设备的检定/校准证书，核实：</w:t>
            </w:r>
          </w:p>
          <w:p>
            <w:pPr>
              <w:keepNext w:val="0"/>
              <w:keepLines w:val="0"/>
              <w:pageBreakBefore w:val="0"/>
              <w:kinsoku/>
              <w:wordWrap/>
              <w:overflowPunct/>
              <w:topLinePunct w:val="0"/>
              <w:autoSpaceDN/>
              <w:bidi w:val="0"/>
              <w:adjustRightIn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仪器设备在投入使用前是否经过检定或校准等方式进行确认。</w:t>
            </w:r>
          </w:p>
        </w:tc>
        <w:tc>
          <w:tcPr>
            <w:tcW w:w="2504" w:type="dxa"/>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Cs/>
                <w:kern w:val="0"/>
                <w:sz w:val="21"/>
                <w:szCs w:val="21"/>
              </w:rPr>
            </w:pPr>
            <w:r>
              <w:rPr>
                <w:rFonts w:hint="eastAsia" w:ascii="仿宋" w:hAnsi="仿宋" w:eastAsia="仿宋" w:cs="仿宋"/>
                <w:color w:val="000000"/>
                <w:kern w:val="0"/>
                <w:sz w:val="21"/>
                <w:szCs w:val="21"/>
              </w:rPr>
              <w:t>发现不符合的，纳入</w:t>
            </w:r>
            <w:r>
              <w:rPr>
                <w:rFonts w:hint="eastAsia" w:ascii="仿宋" w:hAnsi="仿宋" w:eastAsia="仿宋" w:cs="仿宋"/>
                <w:sz w:val="21"/>
                <w:szCs w:val="21"/>
              </w:rPr>
              <w:t>C</w:t>
            </w:r>
            <w:r>
              <w:rPr>
                <w:rFonts w:hint="eastAsia" w:ascii="仿宋" w:hAnsi="仿宋" w:eastAsia="仿宋" w:cs="仿宋"/>
                <w:color w:val="000000"/>
                <w:kern w:val="0"/>
                <w:sz w:val="21"/>
                <w:szCs w:val="21"/>
              </w:rPr>
              <w:t>级。</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9" w:hRule="atLeast"/>
          <w:jc w:val="center"/>
        </w:trPr>
        <w:tc>
          <w:tcPr>
            <w:tcW w:w="70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b/>
                <w:bCs/>
                <w:sz w:val="21"/>
                <w:szCs w:val="21"/>
              </w:rPr>
            </w:pP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kern w:val="0"/>
                <w:sz w:val="21"/>
                <w:szCs w:val="21"/>
              </w:rPr>
            </w:pPr>
            <w:r>
              <w:rPr>
                <w:rFonts w:hint="eastAsia" w:ascii="仿宋" w:hAnsi="仿宋" w:eastAsia="仿宋" w:cs="仿宋"/>
                <w:kern w:val="0"/>
                <w:sz w:val="21"/>
                <w:szCs w:val="21"/>
              </w:rPr>
              <w:t>8.仪器设备管理符合要求</w:t>
            </w:r>
          </w:p>
        </w:tc>
        <w:tc>
          <w:tcPr>
            <w:tcW w:w="4619" w:type="dxa"/>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Cs/>
                <w:kern w:val="0"/>
                <w:sz w:val="21"/>
                <w:szCs w:val="21"/>
              </w:rPr>
            </w:pPr>
            <w:r>
              <w:rPr>
                <w:rFonts w:hint="eastAsia" w:ascii="仿宋" w:hAnsi="仿宋" w:eastAsia="仿宋" w:cs="仿宋"/>
                <w:bCs/>
                <w:kern w:val="0"/>
                <w:sz w:val="21"/>
                <w:szCs w:val="21"/>
              </w:rPr>
              <w:t>抽查至少5台仪器设备（少于5台的全部核查），核实：</w:t>
            </w:r>
          </w:p>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1.是否有效编制仪器设备操作规程，并具有可操作性；</w:t>
            </w:r>
          </w:p>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2.仪器设备操作规程放置位置是否便于操作人员取用；</w:t>
            </w:r>
          </w:p>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3.仪器设备出入库记录、使用记录、维护维修记录、期间核查记录等是否规范、完整，并规范建立仪器设备档案；</w:t>
            </w:r>
          </w:p>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4.贴有唯一性编号和相应的状态标志。</w:t>
            </w:r>
          </w:p>
        </w:tc>
        <w:tc>
          <w:tcPr>
            <w:tcW w:w="2504" w:type="dxa"/>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bCs/>
                <w:sz w:val="21"/>
                <w:szCs w:val="21"/>
              </w:rPr>
              <w:t>发现1项不符合要求的，扣1分。</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4</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2" w:hRule="atLeast"/>
          <w:jc w:val="center"/>
        </w:trPr>
        <w:tc>
          <w:tcPr>
            <w:tcW w:w="70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Merge w:val="restart"/>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（四）专业技术人员</w:t>
            </w: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9.专业技术人员管理规范</w:t>
            </w:r>
          </w:p>
        </w:tc>
        <w:tc>
          <w:tcPr>
            <w:tcW w:w="4619"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sz w:val="21"/>
                <w:szCs w:val="21"/>
              </w:rPr>
            </w:pPr>
            <w:r>
              <w:rPr>
                <w:rFonts w:hint="eastAsia" w:ascii="仿宋" w:hAnsi="仿宋" w:eastAsia="仿宋" w:cs="仿宋"/>
                <w:bCs/>
                <w:sz w:val="21"/>
                <w:szCs w:val="21"/>
              </w:rPr>
              <w:t>查阅职业卫生技术服务机构管理信息系统中机构通过考核的专业技术人员名单，核实：</w:t>
            </w:r>
          </w:p>
          <w:p>
            <w:pPr>
              <w:keepNext w:val="0"/>
              <w:keepLines w:val="0"/>
              <w:pageBreakBefore w:val="0"/>
              <w:widowControl/>
              <w:kinsoku/>
              <w:wordWrap/>
              <w:overflowPunct/>
              <w:topLinePunct w:val="0"/>
              <w:autoSpaceDN/>
              <w:bidi w:val="0"/>
              <w:spacing w:line="240" w:lineRule="exact"/>
              <w:jc w:val="left"/>
              <w:textAlignment w:val="auto"/>
              <w:rPr>
                <w:rFonts w:ascii="仿宋" w:hAnsi="仿宋" w:eastAsia="仿宋" w:cs="仿宋"/>
                <w:sz w:val="21"/>
                <w:szCs w:val="21"/>
              </w:rPr>
            </w:pPr>
            <w:r>
              <w:rPr>
                <w:rFonts w:hint="eastAsia" w:ascii="仿宋" w:hAnsi="仿宋" w:eastAsia="仿宋" w:cs="仿宋"/>
                <w:bCs/>
                <w:sz w:val="21"/>
                <w:szCs w:val="21"/>
              </w:rPr>
              <w:t>是否按要求开展了专业技术人员变更和备案工作。</w:t>
            </w:r>
          </w:p>
        </w:tc>
        <w:tc>
          <w:tcPr>
            <w:tcW w:w="2504" w:type="dxa"/>
            <w:vAlign w:val="center"/>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bCs/>
                <w:sz w:val="21"/>
                <w:szCs w:val="21"/>
              </w:rPr>
            </w:pPr>
            <w:r>
              <w:rPr>
                <w:rFonts w:hint="eastAsia" w:ascii="仿宋" w:hAnsi="仿宋" w:eastAsia="仿宋" w:cs="仿宋"/>
                <w:bCs/>
                <w:sz w:val="21"/>
                <w:szCs w:val="21"/>
              </w:rPr>
              <w:t>发现</w:t>
            </w:r>
            <w:r>
              <w:rPr>
                <w:rFonts w:hint="eastAsia" w:ascii="仿宋" w:hAnsi="仿宋" w:eastAsia="仿宋" w:cs="仿宋"/>
                <w:bCs/>
                <w:sz w:val="21"/>
                <w:szCs w:val="21"/>
                <w:lang w:eastAsia="zh-Hans"/>
              </w:rPr>
              <w:t>1处</w:t>
            </w:r>
            <w:r>
              <w:rPr>
                <w:rFonts w:hint="eastAsia" w:ascii="仿宋" w:hAnsi="仿宋" w:eastAsia="仿宋" w:cs="仿宋"/>
                <w:bCs/>
                <w:sz w:val="21"/>
                <w:szCs w:val="21"/>
              </w:rPr>
              <w:t>不符合要求的，扣2分。</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2</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color w:val="FF0000"/>
                <w:sz w:val="21"/>
                <w:szCs w:val="21"/>
              </w:rPr>
            </w:pPr>
          </w:p>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3" w:hRule="atLeast"/>
          <w:jc w:val="center"/>
        </w:trPr>
        <w:tc>
          <w:tcPr>
            <w:tcW w:w="70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b/>
                <w:bCs/>
                <w:sz w:val="21"/>
                <w:szCs w:val="21"/>
              </w:rPr>
            </w:pP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10.规范开展专业技术人员培训</w:t>
            </w:r>
          </w:p>
        </w:tc>
        <w:tc>
          <w:tcPr>
            <w:tcW w:w="4619"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kern w:val="0"/>
                <w:sz w:val="21"/>
                <w:szCs w:val="21"/>
              </w:rPr>
            </w:pPr>
            <w:r>
              <w:rPr>
                <w:rFonts w:hint="eastAsia" w:ascii="仿宋" w:hAnsi="仿宋" w:eastAsia="仿宋" w:cs="仿宋"/>
                <w:bCs/>
                <w:kern w:val="0"/>
                <w:sz w:val="21"/>
                <w:szCs w:val="21"/>
              </w:rPr>
              <w:t>查阅专业技术人员技术档案、培训档案，核实：</w:t>
            </w:r>
          </w:p>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kern w:val="0"/>
                <w:sz w:val="21"/>
                <w:szCs w:val="21"/>
              </w:rPr>
            </w:pPr>
            <w:r>
              <w:rPr>
                <w:rFonts w:hint="eastAsia" w:ascii="仿宋" w:hAnsi="仿宋" w:eastAsia="仿宋" w:cs="仿宋"/>
                <w:bCs/>
                <w:kern w:val="0"/>
                <w:sz w:val="21"/>
                <w:szCs w:val="21"/>
              </w:rPr>
              <w:t>1.新上岗、转岗专业技术人员的岗前培训是否符合要求；</w:t>
            </w:r>
          </w:p>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kern w:val="0"/>
                <w:sz w:val="21"/>
                <w:szCs w:val="21"/>
              </w:rPr>
            </w:pPr>
            <w:r>
              <w:rPr>
                <w:rFonts w:hint="eastAsia" w:ascii="仿宋" w:hAnsi="仿宋" w:eastAsia="仿宋" w:cs="仿宋"/>
                <w:bCs/>
                <w:kern w:val="0"/>
                <w:sz w:val="21"/>
                <w:szCs w:val="21"/>
              </w:rPr>
              <w:t>2.抽查至少60%专业技术人员的每年继续教育培训情况是否符合要求。</w:t>
            </w:r>
          </w:p>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bCs/>
                <w:kern w:val="0"/>
                <w:sz w:val="21"/>
                <w:szCs w:val="21"/>
              </w:rPr>
              <w:t>3.年度培训计划、培训内容、培训过程记录等是否符合要求。</w:t>
            </w:r>
          </w:p>
        </w:tc>
        <w:tc>
          <w:tcPr>
            <w:tcW w:w="2504" w:type="dxa"/>
            <w:vAlign w:val="center"/>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bCs/>
                <w:sz w:val="21"/>
                <w:szCs w:val="21"/>
              </w:rPr>
              <w:t>发现1项不符合要求的，扣1分。</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3</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4" w:hRule="atLeast"/>
          <w:jc w:val="center"/>
        </w:trPr>
        <w:tc>
          <w:tcPr>
            <w:tcW w:w="709" w:type="dxa"/>
            <w:vMerge w:val="continue"/>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Merge w:val="continue"/>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b/>
                <w:bCs/>
                <w:sz w:val="21"/>
                <w:szCs w:val="21"/>
              </w:rPr>
            </w:pP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11.规范建立专业技术人员技术档案，档案材料齐全</w:t>
            </w:r>
          </w:p>
        </w:tc>
        <w:tc>
          <w:tcPr>
            <w:tcW w:w="4619"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抽查至少5名专业技术人员的专业技术档案，查阅：</w:t>
            </w:r>
          </w:p>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专业技术人员技术档案材料是否齐全、管理是否规范（档案中包括但不限于以下内容：学历证书、学位证书、职称证书、培训证书等）。</w:t>
            </w:r>
          </w:p>
        </w:tc>
        <w:tc>
          <w:tcPr>
            <w:tcW w:w="2504" w:type="dxa"/>
            <w:vAlign w:val="center"/>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r>
              <w:rPr>
                <w:rFonts w:hint="eastAsia" w:ascii="仿宋" w:hAnsi="仿宋" w:eastAsia="仿宋" w:cs="仿宋"/>
                <w:bCs/>
                <w:sz w:val="21"/>
                <w:szCs w:val="21"/>
              </w:rPr>
              <w:t>发现1人不符合要求的，扣0.5分。</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3</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9" w:hRule="atLeast"/>
          <w:jc w:val="center"/>
        </w:trPr>
        <w:tc>
          <w:tcPr>
            <w:tcW w:w="709" w:type="dxa"/>
            <w:vMerge w:val="continue"/>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Merge w:val="restart"/>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（五）内部管理制度和质量保证体系</w:t>
            </w: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12.规范建立质量管理体系并有效运行</w:t>
            </w:r>
          </w:p>
        </w:tc>
        <w:tc>
          <w:tcPr>
            <w:tcW w:w="4619"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sz w:val="21"/>
                <w:szCs w:val="21"/>
              </w:rPr>
            </w:pPr>
            <w:r>
              <w:rPr>
                <w:rFonts w:hint="eastAsia" w:ascii="仿宋" w:hAnsi="仿宋" w:eastAsia="仿宋" w:cs="仿宋"/>
                <w:bCs/>
                <w:sz w:val="21"/>
                <w:szCs w:val="21"/>
              </w:rPr>
              <w:t>查阅管理制度和质量管理体系文件，核实：</w:t>
            </w:r>
          </w:p>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bCs/>
                <w:sz w:val="21"/>
                <w:szCs w:val="21"/>
              </w:rPr>
              <w:t>1.质量管理体系文件</w:t>
            </w:r>
            <w:r>
              <w:rPr>
                <w:rFonts w:hint="eastAsia" w:ascii="仿宋" w:hAnsi="仿宋" w:eastAsia="仿宋" w:cs="仿宋"/>
                <w:sz w:val="21"/>
                <w:szCs w:val="21"/>
              </w:rPr>
              <w:t>是否完整、规范，部门设置及各类关键岗位人员、检测评价人员和管理人员等岗位职责是否明确并有效执行；</w:t>
            </w:r>
          </w:p>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2.质量管理体系内部审核、管理评审工作是否规范。质量管理体系内部审核和管理评审计划、实施、整改等记录是否完整、规范；</w:t>
            </w:r>
          </w:p>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sz w:val="21"/>
                <w:szCs w:val="21"/>
              </w:rPr>
            </w:pPr>
            <w:r>
              <w:rPr>
                <w:rFonts w:hint="eastAsia" w:ascii="仿宋" w:hAnsi="仿宋" w:eastAsia="仿宋" w:cs="仿宋"/>
                <w:sz w:val="21"/>
                <w:szCs w:val="21"/>
              </w:rPr>
              <w:t>3.质量监督/质量控制计划与记录是否完整、规范。</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sz w:val="21"/>
                <w:szCs w:val="21"/>
              </w:rPr>
            </w:pPr>
            <w:r>
              <w:rPr>
                <w:rFonts w:hint="eastAsia" w:ascii="仿宋" w:hAnsi="仿宋" w:eastAsia="仿宋" w:cs="仿宋"/>
                <w:bCs/>
                <w:sz w:val="21"/>
                <w:szCs w:val="21"/>
              </w:rPr>
              <w:t>1. 每发现1处缺项的，扣3分；</w:t>
            </w:r>
          </w:p>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Cs/>
                <w:sz w:val="21"/>
                <w:szCs w:val="21"/>
              </w:rPr>
            </w:pPr>
            <w:r>
              <w:rPr>
                <w:rFonts w:hint="eastAsia" w:ascii="仿宋" w:hAnsi="仿宋" w:eastAsia="仿宋" w:cs="仿宋"/>
                <w:bCs/>
                <w:sz w:val="21"/>
                <w:szCs w:val="21"/>
              </w:rPr>
              <w:t>2. 每发现1处实施不规范的，扣2分。</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15</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3" w:hRule="atLeast"/>
          <w:jc w:val="center"/>
        </w:trPr>
        <w:tc>
          <w:tcPr>
            <w:tcW w:w="709" w:type="dxa"/>
            <w:vMerge w:val="continue"/>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71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13.文件受控管理规范</w:t>
            </w:r>
          </w:p>
        </w:tc>
        <w:tc>
          <w:tcPr>
            <w:tcW w:w="4619"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sz w:val="21"/>
                <w:szCs w:val="21"/>
              </w:rPr>
            </w:pPr>
            <w:r>
              <w:rPr>
                <w:rFonts w:hint="eastAsia" w:ascii="仿宋" w:hAnsi="仿宋" w:eastAsia="仿宋" w:cs="仿宋"/>
                <w:bCs/>
                <w:sz w:val="21"/>
                <w:szCs w:val="21"/>
              </w:rPr>
              <w:t>查阅文件受控管理制度及记录，核实：</w:t>
            </w:r>
          </w:p>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sz w:val="21"/>
                <w:szCs w:val="21"/>
              </w:rPr>
            </w:pPr>
            <w:r>
              <w:rPr>
                <w:rFonts w:hint="eastAsia" w:ascii="仿宋" w:hAnsi="仿宋" w:eastAsia="仿宋" w:cs="仿宋"/>
                <w:bCs/>
                <w:sz w:val="21"/>
                <w:szCs w:val="21"/>
              </w:rPr>
              <w:t>1.是否规范建立文件受控程序；</w:t>
            </w:r>
          </w:p>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sz w:val="21"/>
                <w:szCs w:val="21"/>
              </w:rPr>
            </w:pPr>
            <w:r>
              <w:rPr>
                <w:rFonts w:hint="eastAsia" w:ascii="仿宋" w:hAnsi="仿宋" w:eastAsia="仿宋" w:cs="仿宋"/>
                <w:bCs/>
                <w:sz w:val="21"/>
                <w:szCs w:val="21"/>
              </w:rPr>
              <w:t>2.受控文件的发放、回收、作废、销毁等过程是否规范。</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sz w:val="21"/>
                <w:szCs w:val="21"/>
              </w:rPr>
            </w:pPr>
            <w:r>
              <w:rPr>
                <w:rFonts w:hint="eastAsia" w:ascii="仿宋" w:hAnsi="仿宋" w:eastAsia="仿宋" w:cs="仿宋"/>
                <w:bCs/>
                <w:sz w:val="21"/>
                <w:szCs w:val="21"/>
              </w:rPr>
              <w:t>发现1项不符合要求的，扣1分。</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2</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709" w:type="dxa"/>
            <w:vMerge w:val="restart"/>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r>
              <w:rPr>
                <w:rFonts w:hint="eastAsia" w:ascii="仿宋" w:hAnsi="仿宋" w:eastAsia="仿宋" w:cs="仿宋"/>
                <w:b/>
                <w:bCs/>
                <w:sz w:val="21"/>
                <w:szCs w:val="21"/>
              </w:rPr>
              <w:t>二、技术服务规范性</w:t>
            </w:r>
          </w:p>
        </w:tc>
        <w:tc>
          <w:tcPr>
            <w:tcW w:w="719" w:type="dxa"/>
            <w:vMerge w:val="restart"/>
            <w:vAlign w:val="center"/>
          </w:tcPr>
          <w:p>
            <w:pPr>
              <w:pStyle w:val="6"/>
              <w:keepNext w:val="0"/>
              <w:keepLines w:val="0"/>
              <w:pageBreakBefore w:val="0"/>
              <w:kinsoku/>
              <w:wordWrap/>
              <w:overflowPunct/>
              <w:topLinePunct w:val="0"/>
              <w:autoSpaceDN/>
              <w:bidi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（六）合同/技术协议及评审</w:t>
            </w: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kern w:val="0"/>
                <w:sz w:val="21"/>
                <w:szCs w:val="21"/>
              </w:rPr>
              <w:t>14.▲</w:t>
            </w:r>
            <w:r>
              <w:rPr>
                <w:rFonts w:hint="eastAsia" w:ascii="仿宋" w:hAnsi="仿宋" w:eastAsia="仿宋" w:cs="仿宋"/>
                <w:sz w:val="21"/>
                <w:szCs w:val="21"/>
              </w:rPr>
              <w:t>是否存在超出资质认可范围从事放射卫生技术服务</w:t>
            </w:r>
          </w:p>
        </w:tc>
        <w:tc>
          <w:tcPr>
            <w:tcW w:w="4619"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查阅检测报告及机构资质业务范围和检测项目，核实：</w:t>
            </w:r>
          </w:p>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1.是否超出资质等级、业务范围开展技术服务；</w:t>
            </w:r>
          </w:p>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2.是否超出资质有效期开展技术服务；</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3.是否超出资质副本中检测项目开展技术服务。</w:t>
            </w:r>
          </w:p>
        </w:tc>
        <w:tc>
          <w:tcPr>
            <w:tcW w:w="2504" w:type="dxa"/>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Cs/>
                <w:sz w:val="21"/>
                <w:szCs w:val="21"/>
                <w:highlight w:val="green"/>
              </w:rPr>
            </w:pPr>
            <w:r>
              <w:rPr>
                <w:rFonts w:hint="eastAsia" w:ascii="仿宋" w:hAnsi="仿宋" w:eastAsia="仿宋" w:cs="仿宋"/>
                <w:color w:val="000000"/>
                <w:kern w:val="0"/>
                <w:sz w:val="21"/>
                <w:szCs w:val="21"/>
              </w:rPr>
              <w:t>发现不符合的，纳入</w:t>
            </w:r>
            <w:r>
              <w:rPr>
                <w:rFonts w:hint="eastAsia" w:ascii="仿宋" w:hAnsi="仿宋" w:eastAsia="仿宋" w:cs="仿宋"/>
                <w:sz w:val="21"/>
                <w:szCs w:val="21"/>
              </w:rPr>
              <w:t>C</w:t>
            </w:r>
            <w:r>
              <w:rPr>
                <w:rFonts w:hint="eastAsia" w:ascii="仿宋" w:hAnsi="仿宋" w:eastAsia="仿宋" w:cs="仿宋"/>
                <w:color w:val="000000"/>
                <w:kern w:val="0"/>
                <w:sz w:val="21"/>
                <w:szCs w:val="21"/>
              </w:rPr>
              <w:t>级。</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3210" w:type="dxa"/>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kern w:val="0"/>
                <w:sz w:val="21"/>
                <w:szCs w:val="21"/>
              </w:rPr>
              <w:t>15.▲是否转包放射卫生技术服务项目</w:t>
            </w:r>
          </w:p>
        </w:tc>
        <w:tc>
          <w:tcPr>
            <w:tcW w:w="4619"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bCs/>
                <w:sz w:val="21"/>
                <w:szCs w:val="21"/>
              </w:rPr>
            </w:pPr>
            <w:r>
              <w:rPr>
                <w:rFonts w:hint="eastAsia" w:ascii="仿宋" w:hAnsi="仿宋" w:eastAsia="仿宋" w:cs="仿宋"/>
                <w:sz w:val="21"/>
                <w:szCs w:val="21"/>
              </w:rPr>
              <w:t>查阅技术服务合同，核实是否存在转包的放射卫生技术服务项目。</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bookmarkStart w:id="3" w:name="OLE_LINK2"/>
            <w:r>
              <w:rPr>
                <w:rFonts w:hint="eastAsia" w:ascii="仿宋" w:hAnsi="仿宋" w:eastAsia="仿宋" w:cs="仿宋"/>
                <w:color w:val="000000"/>
                <w:kern w:val="0"/>
                <w:sz w:val="21"/>
                <w:szCs w:val="21"/>
              </w:rPr>
              <w:t>发现不符合的，纳入</w:t>
            </w:r>
            <w:r>
              <w:rPr>
                <w:rFonts w:hint="eastAsia" w:ascii="仿宋" w:hAnsi="仿宋" w:eastAsia="仿宋" w:cs="仿宋"/>
                <w:sz w:val="21"/>
                <w:szCs w:val="21"/>
              </w:rPr>
              <w:t>C</w:t>
            </w:r>
            <w:r>
              <w:rPr>
                <w:rFonts w:hint="eastAsia" w:ascii="仿宋" w:hAnsi="仿宋" w:eastAsia="仿宋" w:cs="仿宋"/>
                <w:color w:val="000000"/>
                <w:kern w:val="0"/>
                <w:sz w:val="21"/>
                <w:szCs w:val="21"/>
              </w:rPr>
              <w:t>级。</w:t>
            </w:r>
            <w:bookmarkEnd w:id="3"/>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3210" w:type="dxa"/>
            <w:vAlign w:val="center"/>
          </w:tcPr>
          <w:p>
            <w:pPr>
              <w:pStyle w:val="6"/>
              <w:keepNext w:val="0"/>
              <w:keepLines w:val="0"/>
              <w:pageBreakBefore w:val="0"/>
              <w:kinsoku/>
              <w:wordWrap/>
              <w:overflowPunct/>
              <w:topLinePunct w:val="0"/>
              <w:autoSpaceDN/>
              <w:bidi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16.规范开展合同评审并在书面合同中明确技术服务内容、范围及双方责任</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查阅技术服务合同/技术协议及评审记录，核实：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1.合同/技术协议是否明确技术服务内容、范围、完成时间以及双方的责任；</w:t>
            </w:r>
          </w:p>
          <w:p>
            <w:pPr>
              <w:keepNext w:val="0"/>
              <w:keepLines w:val="0"/>
              <w:pageBreakBefore w:val="0"/>
              <w:kinsoku/>
              <w:wordWrap/>
              <w:overflowPunct/>
              <w:topLinePunct w:val="0"/>
              <w:autoSpaceDN/>
              <w:bidi w:val="0"/>
              <w:spacing w:line="240" w:lineRule="exact"/>
              <w:textAlignment w:val="auto"/>
              <w:rPr>
                <w:rFonts w:ascii="仿宋" w:hAnsi="仿宋" w:eastAsia="仿宋" w:cs="仿宋"/>
                <w:bCs/>
                <w:sz w:val="21"/>
                <w:szCs w:val="21"/>
              </w:rPr>
            </w:pPr>
            <w:r>
              <w:rPr>
                <w:rFonts w:hint="eastAsia" w:ascii="仿宋" w:hAnsi="仿宋" w:eastAsia="仿宋" w:cs="仿宋"/>
                <w:sz w:val="21"/>
                <w:szCs w:val="21"/>
              </w:rPr>
              <w:t>2.是否规范开展技术服务合同评审工作，合同评审是否对承接的技术服务项目的合法性进行评估，是否对本机构检测能力、人员、设备等能否承担该技术服务工作进行了评估。</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bCs/>
                <w:sz w:val="21"/>
                <w:szCs w:val="21"/>
              </w:rPr>
              <w:t>发现1项不符合的，扣2分。</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4</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7"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restart"/>
            <w:vAlign w:val="center"/>
          </w:tcPr>
          <w:p>
            <w:pPr>
              <w:pStyle w:val="6"/>
              <w:keepNext w:val="0"/>
              <w:keepLines w:val="0"/>
              <w:pageBreakBefore w:val="0"/>
              <w:kinsoku/>
              <w:wordWrap/>
              <w:overflowPunct/>
              <w:topLinePunct w:val="0"/>
              <w:autoSpaceDN/>
              <w:bidi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（七）技术服务过程记录</w:t>
            </w:r>
          </w:p>
        </w:tc>
        <w:tc>
          <w:tcPr>
            <w:tcW w:w="3210" w:type="dxa"/>
            <w:vAlign w:val="center"/>
          </w:tcPr>
          <w:p>
            <w:pPr>
              <w:pStyle w:val="6"/>
              <w:keepNext w:val="0"/>
              <w:keepLines w:val="0"/>
              <w:pageBreakBefore w:val="0"/>
              <w:kinsoku/>
              <w:wordWrap/>
              <w:overflowPunct/>
              <w:topLinePunct w:val="0"/>
              <w:autoSpaceDN/>
              <w:bidi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17.规范开展技术服务过程记录、更改、签章等</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查阅检测报告及原始记录，核实：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1.使用的记录表格是否受控；</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2.是否包含委托单位名称、被检设备（场所）名称、被检设备型号规格、使用的主要仪器设备及编号、检测依据、检测项目、检测时间、检测地点和检测人、校核人（复核人）等信息。</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3.是否至少2名专业技术人员开展现场或实验室检测工作，并在原始记录上签字确认；</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4.原始记录更改是否采用杠改方式，并由更改人签字或盖章，空白处标示是否规范。</w:t>
            </w:r>
          </w:p>
        </w:tc>
        <w:tc>
          <w:tcPr>
            <w:tcW w:w="2504" w:type="dxa"/>
            <w:vAlign w:val="center"/>
          </w:tcPr>
          <w:p>
            <w:pPr>
              <w:keepNext w:val="0"/>
              <w:keepLines w:val="0"/>
              <w:pageBreakBefore w:val="0"/>
              <w:widowControl/>
              <w:tabs>
                <w:tab w:val="left" w:pos="683"/>
              </w:tabs>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bCs/>
                <w:sz w:val="21"/>
                <w:szCs w:val="21"/>
              </w:rPr>
              <w:t>发现1项不符合的，</w:t>
            </w:r>
            <w:r>
              <w:rPr>
                <w:rFonts w:hint="eastAsia" w:ascii="仿宋" w:hAnsi="仿宋" w:eastAsia="仿宋" w:cs="仿宋"/>
                <w:sz w:val="21"/>
                <w:szCs w:val="21"/>
              </w:rPr>
              <w:t xml:space="preserve">扣2分。          </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8</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8"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3210" w:type="dxa"/>
            <w:vAlign w:val="center"/>
          </w:tcPr>
          <w:p>
            <w:pPr>
              <w:pStyle w:val="6"/>
              <w:keepNext w:val="0"/>
              <w:keepLines w:val="0"/>
              <w:pageBreakBefore w:val="0"/>
              <w:kinsoku/>
              <w:wordWrap/>
              <w:overflowPunct/>
              <w:topLinePunct w:val="0"/>
              <w:autoSpaceDN/>
              <w:bidi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18.规范开展现场检测</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查阅原始记录，核实：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1.检测仪器设备的种类、量程、时间响应等是否满足现场实际需要；</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2.放射源种类及活度、射线装置的射线能量（电压）、输出量（电流）、投照方向、模体使用等检测条件是否满足相关标准要求；（仅适用于防护报告）</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3.工作场所放射防护检测布点及图例、射线种类是否符合相关标准要求；（仅适用于防护报告）</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4.本底水平测量方法是否符合相关标准要求，且本底水平值可信；（仅适用于防护报告）</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5.放射诊疗设备性能检测项目及参数是否符合相关标准要求；（仅适用于性能检测报告）</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6.性能检测条件是否满足相关标准要求。（仅适用于性能检测报告）</w:t>
            </w:r>
          </w:p>
        </w:tc>
        <w:tc>
          <w:tcPr>
            <w:tcW w:w="2504" w:type="dxa"/>
            <w:vAlign w:val="center"/>
          </w:tcPr>
          <w:p>
            <w:pPr>
              <w:keepNext w:val="0"/>
              <w:keepLines w:val="0"/>
              <w:pageBreakBefore w:val="0"/>
              <w:widowControl/>
              <w:kinsoku/>
              <w:wordWrap/>
              <w:overflowPunct/>
              <w:topLinePunct w:val="0"/>
              <w:autoSpaceDN/>
              <w:bidi w:val="0"/>
              <w:spacing w:line="240" w:lineRule="exact"/>
              <w:ind w:left="105"/>
              <w:textAlignment w:val="auto"/>
              <w:rPr>
                <w:rFonts w:ascii="仿宋" w:hAnsi="仿宋" w:eastAsia="仿宋" w:cs="仿宋"/>
                <w:sz w:val="21"/>
                <w:szCs w:val="21"/>
              </w:rPr>
            </w:pPr>
            <w:r>
              <w:rPr>
                <w:rFonts w:hint="eastAsia" w:ascii="仿宋" w:hAnsi="仿宋" w:eastAsia="仿宋" w:cs="仿宋"/>
                <w:bCs/>
                <w:sz w:val="21"/>
                <w:szCs w:val="21"/>
              </w:rPr>
              <w:t>发现1项不符合的，</w:t>
            </w:r>
            <w:r>
              <w:rPr>
                <w:rFonts w:hint="eastAsia" w:ascii="仿宋" w:hAnsi="仿宋" w:eastAsia="仿宋" w:cs="仿宋"/>
                <w:sz w:val="21"/>
                <w:szCs w:val="21"/>
              </w:rPr>
              <w:t>扣3分。</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18</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2"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3210" w:type="dxa"/>
            <w:vAlign w:val="center"/>
          </w:tcPr>
          <w:p>
            <w:pPr>
              <w:pStyle w:val="6"/>
              <w:keepNext w:val="0"/>
              <w:keepLines w:val="0"/>
              <w:pageBreakBefore w:val="0"/>
              <w:kinsoku/>
              <w:wordWrap/>
              <w:overflowPunct/>
              <w:topLinePunct w:val="0"/>
              <w:autoSpaceDN/>
              <w:bidi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19.规范使用仪器设备</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查阅检测报告及原始记录，核实：</w:t>
            </w:r>
          </w:p>
          <w:p>
            <w:pPr>
              <w:pStyle w:val="16"/>
              <w:keepNext w:val="0"/>
              <w:keepLines w:val="0"/>
              <w:pageBreakBefore w:val="0"/>
              <w:kinsoku/>
              <w:wordWrap/>
              <w:overflowPunct/>
              <w:topLinePunct w:val="0"/>
              <w:autoSpaceDN/>
              <w:bidi w:val="0"/>
              <w:spacing w:line="240" w:lineRule="exact"/>
              <w:ind w:firstLine="0" w:firstLineChars="0"/>
              <w:textAlignment w:val="auto"/>
              <w:rPr>
                <w:rFonts w:ascii="仿宋" w:hAnsi="仿宋" w:eastAsia="仿宋" w:cs="仿宋"/>
                <w:sz w:val="21"/>
                <w:szCs w:val="21"/>
              </w:rPr>
            </w:pPr>
            <w:r>
              <w:rPr>
                <w:rFonts w:hint="eastAsia" w:ascii="仿宋" w:hAnsi="仿宋" w:eastAsia="仿宋" w:cs="仿宋"/>
                <w:sz w:val="21"/>
                <w:szCs w:val="21"/>
              </w:rPr>
              <w:t>1.仪器设备是否在检定/校准有效期内；</w:t>
            </w:r>
          </w:p>
          <w:p>
            <w:pPr>
              <w:pStyle w:val="16"/>
              <w:keepNext w:val="0"/>
              <w:keepLines w:val="0"/>
              <w:pageBreakBefore w:val="0"/>
              <w:kinsoku/>
              <w:wordWrap/>
              <w:overflowPunct/>
              <w:topLinePunct w:val="0"/>
              <w:autoSpaceDN/>
              <w:bidi w:val="0"/>
              <w:spacing w:line="240" w:lineRule="exact"/>
              <w:ind w:firstLine="0" w:firstLineChars="0"/>
              <w:textAlignment w:val="auto"/>
              <w:rPr>
                <w:rFonts w:ascii="仿宋" w:hAnsi="仿宋" w:eastAsia="仿宋" w:cs="仿宋"/>
                <w:sz w:val="21"/>
                <w:szCs w:val="21"/>
              </w:rPr>
            </w:pPr>
            <w:r>
              <w:rPr>
                <w:rFonts w:hint="eastAsia" w:ascii="仿宋" w:hAnsi="仿宋" w:eastAsia="仿宋" w:cs="仿宋"/>
                <w:sz w:val="21"/>
                <w:szCs w:val="21"/>
              </w:rPr>
              <w:t>2.仪器设备出入库记录、仪器使用记录是否规范,仪器使用记录是否包括使用时间、被检设备（场所）名称或样品信息、仪器使用前/归还前的状态信息、使用人员签名等。</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bCs/>
                <w:sz w:val="21"/>
                <w:szCs w:val="21"/>
              </w:rPr>
              <w:t>发现1项不符合的，扣2分</w:t>
            </w:r>
            <w:r>
              <w:rPr>
                <w:rFonts w:hint="eastAsia" w:ascii="仿宋" w:hAnsi="仿宋" w:eastAsia="仿宋" w:cs="仿宋"/>
                <w:kern w:val="0"/>
                <w:sz w:val="21"/>
                <w:szCs w:val="21"/>
              </w:rPr>
              <w:t>。</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4</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3210" w:type="dxa"/>
            <w:vAlign w:val="center"/>
          </w:tcPr>
          <w:p>
            <w:pPr>
              <w:pStyle w:val="6"/>
              <w:keepNext w:val="0"/>
              <w:keepLines w:val="0"/>
              <w:pageBreakBefore w:val="0"/>
              <w:kinsoku/>
              <w:wordWrap/>
              <w:overflowPunct/>
              <w:topLinePunct w:val="0"/>
              <w:autoSpaceDN/>
              <w:bidi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20.现场检测结果处理规范</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查阅检测报告及原始记录，核实：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1.数据修约规范，采用法定计量单位；</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2.数据处理过程信息完整准确，计算公式、计算方法正确；</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3.正确使用校准因子修正检测结果；</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4.检测数据异常或不合格数据如实记录，不存在将异常数据或未实施的检测参数按“不具备被检条件”处理的情况。</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bCs/>
                <w:sz w:val="21"/>
                <w:szCs w:val="21"/>
              </w:rPr>
              <w:t>发现1项不符合的，扣2分</w:t>
            </w:r>
            <w:r>
              <w:rPr>
                <w:rFonts w:hint="eastAsia" w:ascii="仿宋" w:hAnsi="仿宋" w:eastAsia="仿宋" w:cs="仿宋"/>
                <w:kern w:val="0"/>
                <w:sz w:val="21"/>
                <w:szCs w:val="21"/>
              </w:rPr>
              <w:t>。</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8</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5"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3210" w:type="dxa"/>
            <w:vAlign w:val="center"/>
          </w:tcPr>
          <w:p>
            <w:pPr>
              <w:pStyle w:val="6"/>
              <w:keepNext w:val="0"/>
              <w:keepLines w:val="0"/>
              <w:pageBreakBefore w:val="0"/>
              <w:kinsoku/>
              <w:wordWrap/>
              <w:overflowPunct/>
              <w:topLinePunct w:val="0"/>
              <w:autoSpaceDN/>
              <w:bidi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21.规范开展实验室检测分析</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现场抽查至少3份个人剂量监测报告或含放产品检测（如有）及原始记录材料，核实：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1.样品保存、运输、接收、流转等管理是否规范，记录是否完整准确；</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2.样品检测是否在有效期内；</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3.检测记录信息是否准确、完整，可溯源；</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4.仪器使用记录是否准确规范，可溯源；</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5.样品检测结果计算过程是否正确，并进行了校核确认，剔除数据是否有相关说明；</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6.采用的检测方法是否现行有效。</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bCs/>
                <w:sz w:val="21"/>
                <w:szCs w:val="21"/>
              </w:rPr>
              <w:t>发现1项不符合的，扣0.5分</w:t>
            </w:r>
            <w:r>
              <w:rPr>
                <w:rFonts w:hint="eastAsia" w:ascii="仿宋" w:hAnsi="仿宋" w:eastAsia="仿宋" w:cs="仿宋"/>
                <w:kern w:val="0"/>
                <w:sz w:val="21"/>
                <w:szCs w:val="21"/>
              </w:rPr>
              <w:t>。</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3</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3210" w:type="dxa"/>
            <w:vAlign w:val="center"/>
          </w:tcPr>
          <w:p>
            <w:pPr>
              <w:pStyle w:val="6"/>
              <w:keepNext w:val="0"/>
              <w:keepLines w:val="0"/>
              <w:pageBreakBefore w:val="0"/>
              <w:kinsoku/>
              <w:wordWrap/>
              <w:overflowPunct/>
              <w:topLinePunct w:val="0"/>
              <w:autoSpaceDN/>
              <w:bidi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22.规范开展技术服务过程质量控制措施</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查阅检测报告及原始记录，核实：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1.是否进行现场校准或采用校准因子对检测结果进行校正；</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2.实验室检测是否采取有效质控措施，如质控样、平行样等。</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bCs/>
                <w:sz w:val="21"/>
                <w:szCs w:val="21"/>
              </w:rPr>
              <w:t>发现一项不符合的，扣1分</w:t>
            </w:r>
            <w:r>
              <w:rPr>
                <w:rFonts w:hint="eastAsia" w:ascii="仿宋" w:hAnsi="仿宋" w:eastAsia="仿宋" w:cs="仿宋"/>
                <w:kern w:val="0"/>
                <w:sz w:val="21"/>
                <w:szCs w:val="21"/>
              </w:rPr>
              <w:t>。</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2</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2"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restart"/>
            <w:vAlign w:val="center"/>
          </w:tcPr>
          <w:p>
            <w:pPr>
              <w:pStyle w:val="6"/>
              <w:keepNext w:val="0"/>
              <w:keepLines w:val="0"/>
              <w:pageBreakBefore w:val="0"/>
              <w:widowControl w:val="0"/>
              <w:kinsoku/>
              <w:wordWrap/>
              <w:overflowPunct/>
              <w:topLinePunct w:val="0"/>
              <w:autoSpaceDE/>
              <w:autoSpaceDN/>
              <w:bidi w:val="0"/>
              <w:adjustRightInd/>
              <w:snapToGrid w:val="0"/>
              <w:spacing w:line="240" w:lineRule="exact"/>
              <w:textAlignment w:val="auto"/>
              <w:rPr>
                <w:rFonts w:ascii="仿宋" w:hAnsi="仿宋" w:eastAsia="仿宋" w:cs="仿宋"/>
                <w:b/>
                <w:bCs/>
                <w:sz w:val="21"/>
                <w:szCs w:val="21"/>
              </w:rPr>
            </w:pPr>
            <w:r>
              <w:rPr>
                <w:rFonts w:hint="eastAsia" w:ascii="仿宋" w:hAnsi="仿宋" w:eastAsia="仿宋" w:cs="仿宋"/>
                <w:b/>
                <w:bCs/>
                <w:sz w:val="21"/>
                <w:szCs w:val="21"/>
              </w:rPr>
              <w:t>（八）检测报告</w:t>
            </w:r>
          </w:p>
        </w:tc>
        <w:tc>
          <w:tcPr>
            <w:tcW w:w="3210" w:type="dxa"/>
            <w:vAlign w:val="center"/>
          </w:tcPr>
          <w:p>
            <w:pPr>
              <w:pStyle w:val="6"/>
              <w:keepNext w:val="0"/>
              <w:keepLines w:val="0"/>
              <w:pageBreakBefore w:val="0"/>
              <w:kinsoku/>
              <w:wordWrap/>
              <w:overflowPunct/>
              <w:topLinePunct w:val="0"/>
              <w:autoSpaceDN/>
              <w:bidi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23.检测报告内容完整、规范</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查阅检测报告，核实：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检测报告是否包含受检单位名称、被检设备（场所）名称、被检设备型号、样品编号、检测报告唯一性编号、使用的主要仪器设备及编号、检测与评价依据、检测类别、检测项目（或参数），检测时间和检测地点、检测条件等信息，并与原始记录信息一致；（指标18中已扣分的内容此处不再重复扣分）</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2.检测结果是否可溯源至原始记录；</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3.是否采用法定计量单位；</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4.放射诊疗设备性能检测项目及参数是否符合标准要求；（仅适用于性能检测报告）</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5.工作场所放射防护检测布点及图例是否规范，可溯源至原始记录。（仅适用于防护报告）</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kern w:val="0"/>
                <w:sz w:val="21"/>
                <w:szCs w:val="21"/>
              </w:rPr>
            </w:pPr>
            <w:r>
              <w:rPr>
                <w:rFonts w:hint="eastAsia" w:ascii="仿宋" w:hAnsi="仿宋" w:eastAsia="仿宋" w:cs="仿宋"/>
                <w:bCs/>
                <w:sz w:val="21"/>
                <w:szCs w:val="21"/>
              </w:rPr>
              <w:t>发现一项不符合的，扣4分</w:t>
            </w:r>
            <w:r>
              <w:rPr>
                <w:rFonts w:hint="eastAsia" w:ascii="仿宋" w:hAnsi="仿宋" w:eastAsia="仿宋" w:cs="仿宋"/>
                <w:kern w:val="0"/>
                <w:sz w:val="21"/>
                <w:szCs w:val="21"/>
              </w:rPr>
              <w:t>。</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16</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8"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3210" w:type="dxa"/>
            <w:vAlign w:val="center"/>
          </w:tcPr>
          <w:p>
            <w:pPr>
              <w:pStyle w:val="6"/>
              <w:keepNext w:val="0"/>
              <w:keepLines w:val="0"/>
              <w:pageBreakBefore w:val="0"/>
              <w:kinsoku/>
              <w:wordWrap/>
              <w:overflowPunct/>
              <w:topLinePunct w:val="0"/>
              <w:autoSpaceDN/>
              <w:bidi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24.规范开展检测报告审核及签发</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查阅检测报告及审核记录，核实：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1.是否有内部审核记录，审核发现的问题全面合理，并进行全面有效修改；</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2.是否按本机构质量管理体系程序和要求签署检测报告。（例如，检测报告是否包含授权签字人签字信息及签发日期，本次技术服务的授权签字人是否超出授权签字范围。）</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 第1项每发现1处不符合的，扣1分；</w:t>
            </w:r>
          </w:p>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 第2项每发现1处及以上不符合的，扣2分。</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2</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6"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restart"/>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r>
              <w:rPr>
                <w:rFonts w:hint="eastAsia" w:ascii="仿宋" w:hAnsi="仿宋" w:eastAsia="仿宋" w:cs="仿宋"/>
                <w:b/>
                <w:bCs/>
                <w:sz w:val="21"/>
                <w:szCs w:val="21"/>
              </w:rPr>
              <w:t>（九）报告归档及信息报送和公示</w:t>
            </w:r>
          </w:p>
        </w:tc>
        <w:tc>
          <w:tcPr>
            <w:tcW w:w="3210" w:type="dxa"/>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25.规范开展检测报告档案归档管理</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现场抽取至少5份检测报告及原始记录，核实：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检测报告及过程管理资料归档是否符合要求。</w:t>
            </w:r>
          </w:p>
        </w:tc>
        <w:tc>
          <w:tcPr>
            <w:tcW w:w="2504" w:type="dxa"/>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 每发现1份报告未归档的，扣1分；</w:t>
            </w:r>
          </w:p>
          <w:p>
            <w:pPr>
              <w:keepNext w:val="0"/>
              <w:keepLines w:val="0"/>
              <w:pageBreakBefore w:val="0"/>
              <w:kinsoku/>
              <w:wordWrap/>
              <w:overflowPunct/>
              <w:topLinePunct w:val="0"/>
              <w:autoSpaceDN/>
              <w:bidi w:val="0"/>
              <w:spacing w:line="240" w:lineRule="exact"/>
              <w:textAlignment w:val="auto"/>
              <w:rPr>
                <w:rFonts w:ascii="仿宋" w:hAnsi="仿宋" w:eastAsia="仿宋" w:cs="仿宋"/>
                <w:kern w:val="0"/>
                <w:sz w:val="21"/>
                <w:szCs w:val="21"/>
              </w:rPr>
            </w:pPr>
            <w:r>
              <w:rPr>
                <w:rFonts w:hint="eastAsia" w:ascii="仿宋" w:hAnsi="仿宋" w:eastAsia="仿宋" w:cs="仿宋"/>
                <w:sz w:val="21"/>
                <w:szCs w:val="21"/>
              </w:rPr>
              <w:t>2. 每发现1处归档管理不规范的，扣0.5分。</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2</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9"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3210"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26.</w:t>
            </w:r>
            <w:r>
              <w:rPr>
                <w:rFonts w:hint="eastAsia" w:ascii="仿宋" w:hAnsi="仿宋" w:eastAsia="仿宋" w:cs="仿宋"/>
                <w:kern w:val="0"/>
                <w:sz w:val="21"/>
                <w:szCs w:val="21"/>
              </w:rPr>
              <w:t>▲</w:t>
            </w:r>
            <w:r>
              <w:rPr>
                <w:rFonts w:hint="eastAsia" w:ascii="仿宋" w:hAnsi="仿宋" w:eastAsia="仿宋" w:cs="仿宋"/>
                <w:sz w:val="21"/>
                <w:szCs w:val="21"/>
              </w:rPr>
              <w:t>按规定报送放射卫生技术服务信息</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随机抽取至少5份检测报告（含2-3份个人剂量报告），查阅职业卫生技术服务机构管理信息系统和全国放射卫生信息平台等有关技术服务信息报送情况，核实：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1.查阅抽取报告是否按规定进行报送；</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2.个人剂量报告中个人剂量个案数据是否按规定进行报送。</w:t>
            </w:r>
          </w:p>
        </w:tc>
        <w:tc>
          <w:tcPr>
            <w:tcW w:w="2504"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kern w:val="0"/>
                <w:sz w:val="21"/>
                <w:szCs w:val="21"/>
              </w:rPr>
            </w:pPr>
            <w:r>
              <w:rPr>
                <w:rFonts w:hint="eastAsia" w:ascii="仿宋" w:hAnsi="仿宋" w:eastAsia="仿宋" w:cs="仿宋"/>
                <w:sz w:val="21"/>
                <w:szCs w:val="21"/>
              </w:rPr>
              <w:t>发现不符合的，纳入C级。</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atLeast"/>
          <w:jc w:val="center"/>
        </w:trPr>
        <w:tc>
          <w:tcPr>
            <w:tcW w:w="709" w:type="dxa"/>
            <w:vMerge w:val="restart"/>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r>
              <w:rPr>
                <w:rFonts w:hint="eastAsia" w:ascii="仿宋" w:hAnsi="仿宋" w:eastAsia="仿宋" w:cs="仿宋"/>
                <w:b/>
                <w:bCs/>
                <w:sz w:val="21"/>
                <w:szCs w:val="21"/>
              </w:rPr>
              <w:t>三、技术服务真实性</w:t>
            </w:r>
          </w:p>
        </w:tc>
        <w:tc>
          <w:tcPr>
            <w:tcW w:w="719" w:type="dxa"/>
            <w:vMerge w:val="restart"/>
            <w:vAlign w:val="center"/>
          </w:tcPr>
          <w:p>
            <w:pPr>
              <w:keepNext w:val="0"/>
              <w:keepLines w:val="0"/>
              <w:pageBreakBefore w:val="0"/>
              <w:kinsoku/>
              <w:wordWrap/>
              <w:overflowPunct/>
              <w:topLinePunct w:val="0"/>
              <w:autoSpaceDN/>
              <w:bidi w:val="0"/>
              <w:adjustRightInd w:val="0"/>
              <w:snapToGrid w:val="0"/>
              <w:spacing w:line="240" w:lineRule="exact"/>
              <w:textAlignment w:val="auto"/>
              <w:rPr>
                <w:rFonts w:ascii="仿宋" w:hAnsi="仿宋" w:eastAsia="仿宋" w:cs="仿宋"/>
                <w:b/>
                <w:bCs/>
                <w:sz w:val="21"/>
                <w:szCs w:val="21"/>
              </w:rPr>
            </w:pPr>
            <w:r>
              <w:rPr>
                <w:rFonts w:hint="eastAsia" w:ascii="仿宋" w:hAnsi="仿宋" w:eastAsia="仿宋" w:cs="仿宋"/>
                <w:b/>
                <w:bCs/>
                <w:sz w:val="21"/>
                <w:szCs w:val="21"/>
              </w:rPr>
              <w:t>（十）医疗机构现场工作真实性</w:t>
            </w:r>
          </w:p>
        </w:tc>
        <w:tc>
          <w:tcPr>
            <w:tcW w:w="3210"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27.</w:t>
            </w:r>
            <w:r>
              <w:rPr>
                <w:rFonts w:hint="eastAsia" w:ascii="仿宋" w:hAnsi="仿宋" w:eastAsia="仿宋" w:cs="仿宋"/>
                <w:kern w:val="0"/>
                <w:sz w:val="21"/>
                <w:szCs w:val="21"/>
              </w:rPr>
              <w:t>▲</w:t>
            </w:r>
            <w:r>
              <w:rPr>
                <w:rFonts w:hint="eastAsia" w:ascii="仿宋" w:hAnsi="仿宋" w:eastAsia="仿宋" w:cs="仿宋"/>
                <w:sz w:val="21"/>
                <w:szCs w:val="21"/>
              </w:rPr>
              <w:t>提供到医疗机构开展该项技术服务的证明材料</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核查证明材料上显示的时间与实际开展检测工作时间是否相符（如：提供在医疗机构显著位置摄影留证资料、现场检测时的影像证明材料、差旅报销材料或车辆使用记录等）。</w:t>
            </w:r>
          </w:p>
        </w:tc>
        <w:tc>
          <w:tcPr>
            <w:tcW w:w="2504"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发现不符合的，纳入C级。</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9" w:hRule="atLeast"/>
          <w:jc w:val="center"/>
        </w:trPr>
        <w:tc>
          <w:tcPr>
            <w:tcW w:w="709" w:type="dxa"/>
            <w:vMerge w:val="continue"/>
            <w:vAlign w:val="center"/>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continue"/>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b/>
                <w:bCs/>
                <w:sz w:val="21"/>
                <w:szCs w:val="21"/>
              </w:rPr>
            </w:pP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28.</w:t>
            </w:r>
            <w:r>
              <w:rPr>
                <w:rFonts w:hint="eastAsia" w:ascii="仿宋" w:hAnsi="仿宋" w:eastAsia="仿宋" w:cs="仿宋"/>
                <w:kern w:val="0"/>
                <w:sz w:val="21"/>
                <w:szCs w:val="21"/>
              </w:rPr>
              <w:t>▲</w:t>
            </w:r>
            <w:r>
              <w:rPr>
                <w:rFonts w:hint="eastAsia" w:ascii="仿宋" w:hAnsi="仿宋" w:eastAsia="仿宋" w:cs="仿宋"/>
                <w:sz w:val="21"/>
                <w:szCs w:val="21"/>
              </w:rPr>
              <w:t>检测报告应当真实</w:t>
            </w:r>
          </w:p>
        </w:tc>
        <w:tc>
          <w:tcPr>
            <w:tcW w:w="4619"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1.核查和对比医疗机构存档的检测报告与技术服务机构提交的报告是否内容一致；</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2.现场检测的人员、时间、场所是否真实；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3.到医疗机构核查，检测报告中标明被检设备不具备的功能或不能满足检测条件的检测项目是否真实；</w:t>
            </w:r>
          </w:p>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4.到医疗机构核查，检测报告涉及的工作场所及检测点位与实际是否一致。</w:t>
            </w:r>
          </w:p>
        </w:tc>
        <w:tc>
          <w:tcPr>
            <w:tcW w:w="2504" w:type="dxa"/>
            <w:vAlign w:val="center"/>
          </w:tcPr>
          <w:p>
            <w:pPr>
              <w:keepNext w:val="0"/>
              <w:keepLines w:val="0"/>
              <w:pageBreakBefore w:val="0"/>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发现不符合的，纳入C级。</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709" w:type="dxa"/>
            <w:vMerge w:val="continue"/>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restart"/>
            <w:vAlign w:val="center"/>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（十一）仪器设备状态和使用</w:t>
            </w: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29.</w:t>
            </w:r>
            <w:r>
              <w:rPr>
                <w:rFonts w:hint="eastAsia" w:ascii="仿宋" w:hAnsi="仿宋" w:eastAsia="仿宋" w:cs="仿宋"/>
                <w:kern w:val="0"/>
                <w:sz w:val="21"/>
                <w:szCs w:val="21"/>
              </w:rPr>
              <w:t>▲</w:t>
            </w:r>
            <w:r>
              <w:rPr>
                <w:rFonts w:hint="eastAsia" w:ascii="仿宋" w:hAnsi="仿宋" w:eastAsia="仿宋" w:cs="仿宋"/>
                <w:sz w:val="21"/>
                <w:szCs w:val="21"/>
              </w:rPr>
              <w:t>仪器设备编号、仪器设备使用记录时间与原始记录中信息应当一致</w:t>
            </w:r>
          </w:p>
        </w:tc>
        <w:tc>
          <w:tcPr>
            <w:tcW w:w="4619" w:type="dxa"/>
            <w:vAlign w:val="center"/>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核查仪器设备使用记录中的信息与检测报告原始记录检测时间信息是否一致。</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发现不符合的，纳入C级。</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jc w:val="center"/>
        </w:trPr>
        <w:tc>
          <w:tcPr>
            <w:tcW w:w="709" w:type="dxa"/>
            <w:vMerge w:val="continue"/>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719" w:type="dxa"/>
            <w:vMerge w:val="continue"/>
          </w:tcPr>
          <w:p>
            <w:pPr>
              <w:pStyle w:val="6"/>
              <w:keepNext w:val="0"/>
              <w:keepLines w:val="0"/>
              <w:pageBreakBefore w:val="0"/>
              <w:kinsoku/>
              <w:wordWrap/>
              <w:overflowPunct/>
              <w:topLinePunct w:val="0"/>
              <w:autoSpaceDN/>
              <w:bidi w:val="0"/>
              <w:spacing w:line="240" w:lineRule="exact"/>
              <w:textAlignment w:val="auto"/>
              <w:rPr>
                <w:rFonts w:ascii="仿宋" w:hAnsi="仿宋" w:eastAsia="仿宋" w:cs="仿宋"/>
                <w:b/>
                <w:bCs/>
                <w:sz w:val="21"/>
                <w:szCs w:val="21"/>
              </w:rPr>
            </w:pPr>
          </w:p>
        </w:tc>
        <w:tc>
          <w:tcPr>
            <w:tcW w:w="3210" w:type="dxa"/>
            <w:vAlign w:val="center"/>
          </w:tcPr>
          <w:p>
            <w:pPr>
              <w:keepNext w:val="0"/>
              <w:keepLines w:val="0"/>
              <w:pageBreakBefore w:val="0"/>
              <w:kinsoku/>
              <w:wordWrap/>
              <w:overflowPunct/>
              <w:topLinePunct w:val="0"/>
              <w:autoSpaceDE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30.</w:t>
            </w:r>
            <w:r>
              <w:rPr>
                <w:rFonts w:hint="eastAsia" w:ascii="仿宋" w:hAnsi="仿宋" w:eastAsia="仿宋" w:cs="仿宋"/>
                <w:kern w:val="0"/>
                <w:sz w:val="21"/>
                <w:szCs w:val="21"/>
              </w:rPr>
              <w:t>▲</w:t>
            </w:r>
            <w:r>
              <w:rPr>
                <w:rFonts w:hint="eastAsia" w:ascii="仿宋" w:hAnsi="仿宋" w:eastAsia="仿宋" w:cs="仿宋"/>
                <w:sz w:val="21"/>
                <w:szCs w:val="21"/>
              </w:rPr>
              <w:t>使用的仪器设备现场使用时间是否合理</w:t>
            </w:r>
          </w:p>
        </w:tc>
        <w:tc>
          <w:tcPr>
            <w:tcW w:w="4619" w:type="dxa"/>
            <w:vAlign w:val="center"/>
          </w:tcPr>
          <w:p>
            <w:pPr>
              <w:keepNext w:val="0"/>
              <w:keepLines w:val="0"/>
              <w:pageBreakBefore w:val="0"/>
              <w:kinsoku/>
              <w:wordWrap/>
              <w:overflowPunct/>
              <w:topLinePunct w:val="0"/>
              <w:autoSpaceDN/>
              <w:bidi w:val="0"/>
              <w:adjustRightInd w:val="0"/>
              <w:snapToGrid w:val="0"/>
              <w:spacing w:line="240" w:lineRule="exact"/>
              <w:jc w:val="left"/>
              <w:textAlignment w:val="auto"/>
              <w:rPr>
                <w:rFonts w:ascii="仿宋" w:hAnsi="仿宋" w:eastAsia="仿宋" w:cs="仿宋"/>
                <w:sz w:val="21"/>
                <w:szCs w:val="21"/>
              </w:rPr>
            </w:pPr>
            <w:r>
              <w:rPr>
                <w:rFonts w:hint="eastAsia" w:ascii="仿宋" w:hAnsi="仿宋" w:eastAsia="仿宋" w:cs="仿宋"/>
                <w:sz w:val="21"/>
                <w:szCs w:val="21"/>
              </w:rPr>
              <w:t>核查仪器设备中留存的检测数据形成时间，与检测时间、仪器设备使用时间是否一致。</w:t>
            </w:r>
          </w:p>
        </w:tc>
        <w:tc>
          <w:tcPr>
            <w:tcW w:w="2504" w:type="dxa"/>
            <w:vAlign w:val="center"/>
          </w:tcPr>
          <w:p>
            <w:pPr>
              <w:keepNext w:val="0"/>
              <w:keepLines w:val="0"/>
              <w:pageBreakBefore w:val="0"/>
              <w:widowControl/>
              <w:kinsoku/>
              <w:wordWrap/>
              <w:overflowPunct/>
              <w:topLinePunct w:val="0"/>
              <w:autoSpaceDN/>
              <w:bidi w:val="0"/>
              <w:spacing w:line="240" w:lineRule="exact"/>
              <w:textAlignment w:val="auto"/>
              <w:rPr>
                <w:rFonts w:ascii="仿宋" w:hAnsi="仿宋" w:eastAsia="仿宋" w:cs="仿宋"/>
                <w:sz w:val="21"/>
                <w:szCs w:val="21"/>
              </w:rPr>
            </w:pPr>
            <w:r>
              <w:rPr>
                <w:rFonts w:hint="eastAsia" w:ascii="仿宋" w:hAnsi="仿宋" w:eastAsia="仿宋" w:cs="仿宋"/>
                <w:sz w:val="21"/>
                <w:szCs w:val="21"/>
              </w:rPr>
              <w:t>发现不符合的，纳入C级。</w:t>
            </w:r>
          </w:p>
        </w:tc>
        <w:tc>
          <w:tcPr>
            <w:tcW w:w="850" w:type="dxa"/>
            <w:vAlign w:val="center"/>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c>
          <w:tcPr>
            <w:tcW w:w="1725" w:type="dxa"/>
          </w:tcPr>
          <w:p>
            <w:pPr>
              <w:keepNext w:val="0"/>
              <w:keepLines w:val="0"/>
              <w:pageBreakBefore w:val="0"/>
              <w:kinsoku/>
              <w:wordWrap/>
              <w:overflowPunct/>
              <w:topLinePunct w:val="0"/>
              <w:autoSpaceDN/>
              <w:bidi w:val="0"/>
              <w:adjustRightInd w:val="0"/>
              <w:snapToGrid w:val="0"/>
              <w:spacing w:line="240" w:lineRule="exact"/>
              <w:jc w:val="center"/>
              <w:textAlignment w:val="auto"/>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 w:hRule="atLeast"/>
          <w:jc w:val="center"/>
        </w:trPr>
        <w:tc>
          <w:tcPr>
            <w:tcW w:w="709" w:type="dxa"/>
            <w:vAlign w:val="center"/>
          </w:tcPr>
          <w:p>
            <w:pPr>
              <w:pStyle w:val="6"/>
              <w:keepNext w:val="0"/>
              <w:keepLines w:val="0"/>
              <w:pageBreakBefore w:val="0"/>
              <w:kinsoku/>
              <w:wordWrap/>
              <w:overflowPunct/>
              <w:topLinePunct w:val="0"/>
              <w:autoSpaceDN/>
              <w:bidi w:val="0"/>
              <w:spacing w:line="240" w:lineRule="exact"/>
              <w:jc w:val="center"/>
              <w:textAlignment w:val="auto"/>
              <w:rPr>
                <w:rFonts w:ascii="仿宋" w:hAnsi="仿宋" w:eastAsia="仿宋" w:cs="仿宋"/>
                <w:b/>
                <w:bCs/>
                <w:sz w:val="21"/>
                <w:szCs w:val="21"/>
              </w:rPr>
            </w:pPr>
            <w:r>
              <w:rPr>
                <w:rFonts w:hint="eastAsia" w:ascii="仿宋" w:hAnsi="仿宋" w:eastAsia="仿宋" w:cs="仿宋"/>
                <w:b/>
                <w:bCs/>
                <w:sz w:val="21"/>
                <w:szCs w:val="21"/>
              </w:rPr>
              <w:t>总分</w:t>
            </w:r>
          </w:p>
        </w:tc>
        <w:tc>
          <w:tcPr>
            <w:tcW w:w="719" w:type="dxa"/>
            <w:vAlign w:val="center"/>
          </w:tcPr>
          <w:p>
            <w:pPr>
              <w:pStyle w:val="6"/>
              <w:keepNext w:val="0"/>
              <w:keepLines w:val="0"/>
              <w:pageBreakBefore w:val="0"/>
              <w:kinsoku/>
              <w:wordWrap/>
              <w:overflowPunct/>
              <w:topLinePunct w:val="0"/>
              <w:autoSpaceDN/>
              <w:bidi w:val="0"/>
              <w:spacing w:line="240" w:lineRule="exact"/>
              <w:jc w:val="center"/>
              <w:textAlignment w:val="auto"/>
              <w:rPr>
                <w:rFonts w:ascii="仿宋" w:hAnsi="仿宋" w:eastAsia="仿宋" w:cs="仿宋"/>
                <w:b/>
                <w:bCs/>
                <w:sz w:val="21"/>
                <w:szCs w:val="21"/>
              </w:rPr>
            </w:pPr>
            <w:r>
              <w:rPr>
                <w:rFonts w:hint="eastAsia" w:ascii="仿宋" w:hAnsi="仿宋" w:eastAsia="仿宋" w:cs="仿宋"/>
                <w:sz w:val="21"/>
                <w:szCs w:val="21"/>
              </w:rPr>
              <w:t>/</w:t>
            </w:r>
          </w:p>
        </w:tc>
        <w:tc>
          <w:tcPr>
            <w:tcW w:w="3210" w:type="dxa"/>
            <w:vAlign w:val="center"/>
          </w:tcPr>
          <w:p>
            <w:pPr>
              <w:pStyle w:val="6"/>
              <w:keepNext w:val="0"/>
              <w:keepLines w:val="0"/>
              <w:pageBreakBefore w:val="0"/>
              <w:kinsoku/>
              <w:wordWrap/>
              <w:overflowPunct/>
              <w:topLinePunct w:val="0"/>
              <w:autoSpaceDN/>
              <w:bidi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4619" w:type="dxa"/>
            <w:vAlign w:val="center"/>
          </w:tcPr>
          <w:p>
            <w:pPr>
              <w:keepNext w:val="0"/>
              <w:keepLines w:val="0"/>
              <w:pageBreakBefore w:val="0"/>
              <w:kinsoku/>
              <w:wordWrap/>
              <w:overflowPunct/>
              <w:topLinePunct w:val="0"/>
              <w:autoSpaceDN/>
              <w:bidi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2504" w:type="dxa"/>
            <w:vAlign w:val="center"/>
          </w:tcPr>
          <w:p>
            <w:pPr>
              <w:keepNext w:val="0"/>
              <w:keepLines w:val="0"/>
              <w:pageBreakBefore w:val="0"/>
              <w:widowControl/>
              <w:kinsoku/>
              <w:wordWrap/>
              <w:overflowPunct/>
              <w:topLinePunct w:val="0"/>
              <w:autoSpaceDN/>
              <w:bidi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850" w:type="dxa"/>
            <w:vAlign w:val="center"/>
          </w:tcPr>
          <w:p>
            <w:pPr>
              <w:pStyle w:val="6"/>
              <w:keepNext w:val="0"/>
              <w:keepLines w:val="0"/>
              <w:pageBreakBefore w:val="0"/>
              <w:kinsoku/>
              <w:wordWrap/>
              <w:overflowPunct/>
              <w:topLinePunct w:val="0"/>
              <w:autoSpaceDN/>
              <w:bidi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c>
          <w:tcPr>
            <w:tcW w:w="784" w:type="dxa"/>
            <w:vAlign w:val="center"/>
          </w:tcPr>
          <w:p>
            <w:pPr>
              <w:pStyle w:val="6"/>
              <w:keepNext w:val="0"/>
              <w:keepLines w:val="0"/>
              <w:pageBreakBefore w:val="0"/>
              <w:kinsoku/>
              <w:wordWrap/>
              <w:overflowPunct/>
              <w:topLinePunct w:val="0"/>
              <w:autoSpaceDN/>
              <w:bidi w:val="0"/>
              <w:spacing w:line="240" w:lineRule="exact"/>
              <w:jc w:val="center"/>
              <w:textAlignment w:val="auto"/>
              <w:rPr>
                <w:rFonts w:ascii="仿宋" w:hAnsi="仿宋" w:eastAsia="仿宋" w:cs="仿宋"/>
                <w:sz w:val="21"/>
                <w:szCs w:val="21"/>
              </w:rPr>
            </w:pPr>
          </w:p>
        </w:tc>
        <w:tc>
          <w:tcPr>
            <w:tcW w:w="1725" w:type="dxa"/>
            <w:vAlign w:val="center"/>
          </w:tcPr>
          <w:p>
            <w:pPr>
              <w:pStyle w:val="6"/>
              <w:keepNext w:val="0"/>
              <w:keepLines w:val="0"/>
              <w:pageBreakBefore w:val="0"/>
              <w:kinsoku/>
              <w:wordWrap/>
              <w:overflowPunct/>
              <w:topLinePunct w:val="0"/>
              <w:autoSpaceDN/>
              <w:bidi w:val="0"/>
              <w:spacing w:line="240" w:lineRule="exact"/>
              <w:jc w:val="center"/>
              <w:textAlignment w:val="auto"/>
              <w:rPr>
                <w:rFonts w:ascii="仿宋" w:hAnsi="仿宋" w:eastAsia="仿宋" w:cs="仿宋"/>
                <w:sz w:val="21"/>
                <w:szCs w:val="21"/>
              </w:rPr>
            </w:pPr>
            <w:r>
              <w:rPr>
                <w:rFonts w:hint="eastAsia" w:ascii="仿宋" w:hAnsi="仿宋" w:eastAsia="仿宋" w:cs="仿宋"/>
                <w:sz w:val="21"/>
                <w:szCs w:val="21"/>
              </w:rPr>
              <w:t>/</w:t>
            </w:r>
          </w:p>
        </w:tc>
      </w:tr>
      <w:bookmarkEnd w:id="0"/>
      <w:bookmarkEnd w:id="1"/>
      <w:bookmarkEnd w:id="2"/>
    </w:tbl>
    <w:p>
      <w:pPr>
        <w:spacing w:line="400" w:lineRule="exact"/>
        <w:ind w:firstLine="442"/>
        <w:rPr>
          <w:rFonts w:ascii="仿宋" w:hAnsi="仿宋" w:eastAsia="仿宋" w:cs="仿宋"/>
          <w:sz w:val="28"/>
          <w:szCs w:val="28"/>
        </w:rPr>
      </w:pPr>
      <w:r>
        <w:rPr>
          <w:rFonts w:hint="eastAsia" w:ascii="仿宋" w:hAnsi="仿宋" w:eastAsia="仿宋" w:cs="仿宋"/>
          <w:b/>
          <w:bCs/>
          <w:sz w:val="22"/>
          <w:szCs w:val="21"/>
        </w:rPr>
        <w:t xml:space="preserve">注： </w:t>
      </w:r>
      <w:r>
        <w:rPr>
          <w:rFonts w:hint="eastAsia" w:ascii="仿宋" w:hAnsi="仿宋" w:eastAsia="仿宋" w:cs="仿宋"/>
          <w:sz w:val="28"/>
          <w:szCs w:val="28"/>
        </w:rPr>
        <w:t>1.★为否决项，▲为关键项，在得分处填写：符合或不符合；</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 xml:space="preserve"> *按照评分细则扣分，扣分上限为对应分值的分数；（对齐）</w:t>
      </w:r>
    </w:p>
    <w:p>
      <w:pPr>
        <w:spacing w:line="4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对否决项和关键项存在不符合的，仍需对其他内容开展完整的质量监测。</w:t>
      </w:r>
    </w:p>
    <w:p>
      <w:pPr>
        <w:spacing w:line="560" w:lineRule="exact"/>
        <w:ind w:firstLine="301" w:firstLineChars="100"/>
        <w:rPr>
          <w:rFonts w:ascii="仿宋" w:hAnsi="仿宋" w:eastAsia="仿宋" w:cs="仿宋"/>
          <w:b/>
          <w:bCs/>
          <w:sz w:val="30"/>
          <w:szCs w:val="30"/>
        </w:rPr>
      </w:pPr>
      <w:r>
        <w:rPr>
          <w:rFonts w:hint="eastAsia" w:ascii="仿宋" w:hAnsi="仿宋" w:eastAsia="仿宋" w:cs="仿宋"/>
          <w:b/>
          <w:bCs/>
          <w:sz w:val="30"/>
          <w:szCs w:val="30"/>
        </w:rPr>
        <w:t>评估检查组组长签字：</w:t>
      </w:r>
    </w:p>
    <w:p>
      <w:pPr>
        <w:spacing w:line="560" w:lineRule="exact"/>
        <w:ind w:firstLine="301" w:firstLineChars="100"/>
        <w:rPr>
          <w:rFonts w:ascii="仿宋" w:hAnsi="仿宋" w:eastAsia="仿宋" w:cs="仿宋"/>
          <w:b/>
          <w:bCs/>
          <w:sz w:val="30"/>
          <w:szCs w:val="30"/>
        </w:rPr>
      </w:pPr>
      <w:r>
        <w:rPr>
          <w:rFonts w:hint="eastAsia" w:ascii="仿宋" w:hAnsi="仿宋" w:eastAsia="仿宋" w:cs="仿宋"/>
          <w:b/>
          <w:bCs/>
          <w:sz w:val="30"/>
          <w:szCs w:val="30"/>
        </w:rPr>
        <w:t>评估检查组组员签字：</w:t>
      </w:r>
    </w:p>
    <w:p>
      <w:pPr>
        <w:spacing w:line="560" w:lineRule="exact"/>
        <w:ind w:firstLine="301" w:firstLineChars="100"/>
        <w:rPr>
          <w:rFonts w:ascii="仿宋" w:hAnsi="仿宋" w:eastAsia="仿宋" w:cs="仿宋"/>
          <w:b/>
          <w:bCs/>
          <w:sz w:val="30"/>
          <w:szCs w:val="30"/>
        </w:rPr>
      </w:pPr>
      <w:r>
        <w:rPr>
          <w:rFonts w:hint="eastAsia" w:ascii="仿宋" w:hAnsi="仿宋" w:eastAsia="仿宋" w:cs="仿宋"/>
          <w:b/>
          <w:bCs/>
          <w:sz w:val="30"/>
          <w:szCs w:val="30"/>
        </w:rPr>
        <w:t>放射卫生技术服务机构负责人签字：</w:t>
      </w:r>
    </w:p>
    <w:p>
      <w:pPr>
        <w:wordWrap w:val="0"/>
        <w:spacing w:line="560" w:lineRule="exact"/>
        <w:ind w:right="600" w:firstLine="8773" w:firstLineChars="2913"/>
        <w:rPr>
          <w:rFonts w:ascii="仿宋" w:hAnsi="仿宋" w:eastAsia="仿宋" w:cs="仿宋"/>
          <w:b/>
          <w:bCs/>
          <w:sz w:val="30"/>
          <w:szCs w:val="30"/>
        </w:rPr>
      </w:pPr>
      <w:r>
        <w:rPr>
          <w:rFonts w:hint="eastAsia" w:ascii="仿宋" w:hAnsi="仿宋" w:eastAsia="仿宋" w:cs="仿宋"/>
          <w:b/>
          <w:bCs/>
          <w:sz w:val="30"/>
          <w:szCs w:val="30"/>
        </w:rPr>
        <w:t>评估检查时间：  年  月  日</w:t>
      </w:r>
    </w:p>
    <w:p>
      <w:pPr>
        <w:ind w:firstLine="643"/>
        <w:jc w:val="left"/>
        <w:rPr>
          <w:rFonts w:ascii="仿宋_GB2312" w:hAnsi="黑体" w:cs="黑体"/>
          <w:b/>
          <w:bCs/>
          <w:kern w:val="0"/>
          <w:szCs w:val="32"/>
        </w:rPr>
        <w:sectPr>
          <w:footerReference r:id="rId4" w:type="default"/>
          <w:pgSz w:w="16838" w:h="11906" w:orient="landscape"/>
          <w:pgMar w:top="1800" w:right="1440" w:bottom="1800" w:left="1440" w:header="851" w:footer="992" w:gutter="0"/>
          <w:pgNumType w:fmt="decimal"/>
          <w:cols w:space="0" w:num="1"/>
          <w:docGrid w:type="lines" w:linePitch="312" w:charSpace="0"/>
        </w:sectPr>
      </w:pPr>
    </w:p>
    <w:p>
      <w:pPr>
        <w:rPr>
          <w:rFonts w:ascii="仿宋_GB2312" w:hAnsi="黑体" w:cs="黑体"/>
          <w:kern w:val="0"/>
          <w:szCs w:val="32"/>
        </w:rPr>
      </w:pPr>
      <w:r>
        <w:rPr>
          <w:rFonts w:hint="eastAsia" w:ascii="黑体" w:hAnsi="黑体" w:eastAsia="黑体" w:cs="黑体"/>
          <w:kern w:val="0"/>
          <w:szCs w:val="32"/>
        </w:rPr>
        <w:t>附录3</w:t>
      </w:r>
    </w:p>
    <w:p>
      <w:pPr>
        <w:pStyle w:val="2"/>
        <w:ind w:firstLine="0" w:firstLineChars="0"/>
        <w:jc w:val="center"/>
        <w:rPr>
          <w:rFonts w:ascii="仿宋_GB2312" w:hAnsi="黑体" w:cs="黑体"/>
          <w:kern w:val="0"/>
          <w:sz w:val="44"/>
          <w:szCs w:val="44"/>
        </w:rPr>
      </w:pPr>
      <w:r>
        <w:rPr>
          <w:rFonts w:hint="eastAsia" w:ascii="方正小标宋简体" w:hAnsi="方正小标宋简体" w:eastAsia="方正小标宋简体" w:cs="方正小标宋简体"/>
          <w:kern w:val="0"/>
          <w:szCs w:val="32"/>
        </w:rPr>
        <w:t>放射卫生技术服务机构评估检查结果表</w:t>
      </w:r>
    </w:p>
    <w:tbl>
      <w:tblPr>
        <w:tblStyle w:val="8"/>
        <w:tblW w:w="4998" w:type="pct"/>
        <w:tblInd w:w="0" w:type="dxa"/>
        <w:tblLayout w:type="fixed"/>
        <w:tblCellMar>
          <w:top w:w="0" w:type="dxa"/>
          <w:left w:w="57" w:type="dxa"/>
          <w:bottom w:w="0" w:type="dxa"/>
          <w:right w:w="57" w:type="dxa"/>
        </w:tblCellMar>
      </w:tblPr>
      <w:tblGrid>
        <w:gridCol w:w="918"/>
        <w:gridCol w:w="1742"/>
        <w:gridCol w:w="5856"/>
      </w:tblGrid>
      <w:tr>
        <w:tblPrEx>
          <w:tblCellMar>
            <w:top w:w="0" w:type="dxa"/>
            <w:left w:w="57" w:type="dxa"/>
            <w:bottom w:w="0" w:type="dxa"/>
            <w:right w:w="57" w:type="dxa"/>
          </w:tblCellMar>
        </w:tblPrEx>
        <w:trPr>
          <w:trHeight w:val="518" w:hRule="exact"/>
        </w:trPr>
        <w:tc>
          <w:tcPr>
            <w:tcW w:w="1562" w:type="pct"/>
            <w:gridSpan w:val="2"/>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1"/>
                <w:szCs w:val="22"/>
              </w:rPr>
            </w:pPr>
            <w:r>
              <w:rPr>
                <w:rFonts w:hint="eastAsia" w:ascii="仿宋" w:hAnsi="仿宋" w:eastAsia="仿宋" w:cs="仿宋"/>
                <w:b/>
                <w:sz w:val="24"/>
                <w:szCs w:val="22"/>
              </w:rPr>
              <w:t>监测与评估组织单位</w:t>
            </w:r>
          </w:p>
        </w:tc>
        <w:tc>
          <w:tcPr>
            <w:tcW w:w="3437" w:type="pct"/>
            <w:tcBorders>
              <w:top w:val="single" w:color="auto" w:sz="4" w:space="0"/>
              <w:left w:val="single" w:color="auto" w:sz="4" w:space="0"/>
              <w:right w:val="single" w:color="auto" w:sz="4" w:space="0"/>
            </w:tcBorders>
            <w:shd w:val="clear" w:color="auto" w:fill="FFFFFF"/>
            <w:vAlign w:val="center"/>
          </w:tcPr>
          <w:p>
            <w:pPr>
              <w:spacing w:line="300" w:lineRule="exact"/>
              <w:rPr>
                <w:rFonts w:ascii="仿宋" w:hAnsi="仿宋" w:eastAsia="仿宋" w:cs="仿宋"/>
                <w:sz w:val="10"/>
              </w:rPr>
            </w:pPr>
          </w:p>
        </w:tc>
      </w:tr>
      <w:tr>
        <w:tblPrEx>
          <w:tblCellMar>
            <w:top w:w="0" w:type="dxa"/>
            <w:left w:w="57" w:type="dxa"/>
            <w:bottom w:w="0" w:type="dxa"/>
            <w:right w:w="57" w:type="dxa"/>
          </w:tblCellMar>
        </w:tblPrEx>
        <w:trPr>
          <w:trHeight w:val="490" w:hRule="exact"/>
        </w:trPr>
        <w:tc>
          <w:tcPr>
            <w:tcW w:w="1562" w:type="pct"/>
            <w:gridSpan w:val="2"/>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szCs w:val="22"/>
              </w:rPr>
            </w:pPr>
            <w:r>
              <w:rPr>
                <w:rFonts w:hint="eastAsia" w:ascii="仿宋" w:hAnsi="仿宋" w:eastAsia="仿宋" w:cs="仿宋"/>
                <w:b/>
                <w:sz w:val="24"/>
                <w:szCs w:val="22"/>
              </w:rPr>
              <w:t>机构名称</w:t>
            </w:r>
          </w:p>
        </w:tc>
        <w:tc>
          <w:tcPr>
            <w:tcW w:w="3437" w:type="pct"/>
            <w:tcBorders>
              <w:top w:val="single" w:color="auto" w:sz="4" w:space="0"/>
              <w:left w:val="single" w:color="auto" w:sz="4" w:space="0"/>
              <w:right w:val="single" w:color="auto" w:sz="4" w:space="0"/>
            </w:tcBorders>
            <w:shd w:val="clear" w:color="auto" w:fill="FFFFFF"/>
            <w:vAlign w:val="center"/>
          </w:tcPr>
          <w:p>
            <w:pPr>
              <w:spacing w:line="300" w:lineRule="exact"/>
              <w:rPr>
                <w:rFonts w:ascii="仿宋" w:hAnsi="仿宋" w:eastAsia="仿宋" w:cs="仿宋"/>
                <w:sz w:val="10"/>
              </w:rPr>
            </w:pPr>
          </w:p>
        </w:tc>
      </w:tr>
      <w:tr>
        <w:tblPrEx>
          <w:tblCellMar>
            <w:top w:w="0" w:type="dxa"/>
            <w:left w:w="57" w:type="dxa"/>
            <w:bottom w:w="0" w:type="dxa"/>
            <w:right w:w="57" w:type="dxa"/>
          </w:tblCellMar>
        </w:tblPrEx>
        <w:trPr>
          <w:trHeight w:val="485" w:hRule="exact"/>
        </w:trPr>
        <w:tc>
          <w:tcPr>
            <w:tcW w:w="1562" w:type="pct"/>
            <w:gridSpan w:val="2"/>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szCs w:val="22"/>
              </w:rPr>
            </w:pPr>
            <w:r>
              <w:rPr>
                <w:rFonts w:hint="eastAsia" w:ascii="仿宋" w:hAnsi="仿宋" w:eastAsia="仿宋" w:cs="仿宋"/>
                <w:b/>
                <w:sz w:val="24"/>
                <w:szCs w:val="22"/>
              </w:rPr>
              <w:t>法定代表人</w:t>
            </w:r>
          </w:p>
        </w:tc>
        <w:tc>
          <w:tcPr>
            <w:tcW w:w="3437" w:type="pct"/>
            <w:tcBorders>
              <w:top w:val="single" w:color="auto" w:sz="4" w:space="0"/>
              <w:left w:val="single" w:color="auto" w:sz="4" w:space="0"/>
              <w:right w:val="single" w:color="auto" w:sz="4" w:space="0"/>
            </w:tcBorders>
            <w:shd w:val="clear" w:color="auto" w:fill="FFFFFF"/>
            <w:vAlign w:val="center"/>
          </w:tcPr>
          <w:p>
            <w:pPr>
              <w:spacing w:line="300" w:lineRule="exact"/>
              <w:rPr>
                <w:rFonts w:ascii="仿宋" w:hAnsi="仿宋" w:eastAsia="仿宋" w:cs="仿宋"/>
                <w:sz w:val="10"/>
              </w:rPr>
            </w:pPr>
          </w:p>
        </w:tc>
      </w:tr>
      <w:tr>
        <w:tblPrEx>
          <w:tblCellMar>
            <w:top w:w="0" w:type="dxa"/>
            <w:left w:w="57" w:type="dxa"/>
            <w:bottom w:w="0" w:type="dxa"/>
            <w:right w:w="57" w:type="dxa"/>
          </w:tblCellMar>
        </w:tblPrEx>
        <w:trPr>
          <w:trHeight w:val="485" w:hRule="exact"/>
        </w:trPr>
        <w:tc>
          <w:tcPr>
            <w:tcW w:w="1562" w:type="pct"/>
            <w:gridSpan w:val="2"/>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szCs w:val="22"/>
              </w:rPr>
            </w:pPr>
            <w:r>
              <w:rPr>
                <w:rFonts w:hint="eastAsia" w:ascii="仿宋" w:hAnsi="仿宋" w:eastAsia="仿宋" w:cs="仿宋"/>
                <w:b/>
                <w:sz w:val="24"/>
                <w:szCs w:val="22"/>
              </w:rPr>
              <w:t>注册地址</w:t>
            </w:r>
          </w:p>
        </w:tc>
        <w:tc>
          <w:tcPr>
            <w:tcW w:w="3437" w:type="pct"/>
            <w:tcBorders>
              <w:top w:val="single" w:color="auto" w:sz="4" w:space="0"/>
              <w:left w:val="single" w:color="auto" w:sz="4" w:space="0"/>
              <w:right w:val="single" w:color="auto" w:sz="4" w:space="0"/>
            </w:tcBorders>
            <w:shd w:val="clear" w:color="auto" w:fill="FFFFFF"/>
            <w:vAlign w:val="center"/>
          </w:tcPr>
          <w:p>
            <w:pPr>
              <w:spacing w:line="300" w:lineRule="exact"/>
              <w:rPr>
                <w:rFonts w:ascii="仿宋" w:hAnsi="仿宋" w:eastAsia="仿宋" w:cs="仿宋"/>
                <w:sz w:val="10"/>
              </w:rPr>
            </w:pPr>
          </w:p>
        </w:tc>
      </w:tr>
      <w:tr>
        <w:tblPrEx>
          <w:tblCellMar>
            <w:top w:w="0" w:type="dxa"/>
            <w:left w:w="57" w:type="dxa"/>
            <w:bottom w:w="0" w:type="dxa"/>
            <w:right w:w="57" w:type="dxa"/>
          </w:tblCellMar>
        </w:tblPrEx>
        <w:trPr>
          <w:trHeight w:val="485" w:hRule="exact"/>
        </w:trPr>
        <w:tc>
          <w:tcPr>
            <w:tcW w:w="1562" w:type="pct"/>
            <w:gridSpan w:val="2"/>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szCs w:val="22"/>
              </w:rPr>
            </w:pPr>
            <w:r>
              <w:rPr>
                <w:rFonts w:hint="eastAsia" w:ascii="仿宋" w:hAnsi="仿宋" w:eastAsia="仿宋" w:cs="仿宋"/>
                <w:b/>
                <w:sz w:val="24"/>
                <w:szCs w:val="22"/>
              </w:rPr>
              <w:t>报告名称及编号</w:t>
            </w:r>
          </w:p>
        </w:tc>
        <w:tc>
          <w:tcPr>
            <w:tcW w:w="3437" w:type="pct"/>
            <w:tcBorders>
              <w:top w:val="single" w:color="auto" w:sz="4" w:space="0"/>
              <w:left w:val="single" w:color="auto" w:sz="4" w:space="0"/>
              <w:right w:val="single" w:color="auto" w:sz="4" w:space="0"/>
            </w:tcBorders>
            <w:shd w:val="clear" w:color="auto" w:fill="FFFFFF"/>
            <w:vAlign w:val="center"/>
          </w:tcPr>
          <w:p>
            <w:pPr>
              <w:spacing w:line="300" w:lineRule="exact"/>
              <w:rPr>
                <w:rFonts w:ascii="仿宋" w:hAnsi="仿宋" w:eastAsia="仿宋" w:cs="仿宋"/>
                <w:sz w:val="10"/>
              </w:rPr>
            </w:pPr>
          </w:p>
        </w:tc>
      </w:tr>
      <w:tr>
        <w:tblPrEx>
          <w:tblCellMar>
            <w:top w:w="0" w:type="dxa"/>
            <w:left w:w="57" w:type="dxa"/>
            <w:bottom w:w="0" w:type="dxa"/>
            <w:right w:w="57" w:type="dxa"/>
          </w:tblCellMar>
        </w:tblPrEx>
        <w:trPr>
          <w:trHeight w:val="595" w:hRule="atLeast"/>
        </w:trPr>
        <w:tc>
          <w:tcPr>
            <w:tcW w:w="539" w:type="pct"/>
            <w:vMerge w:val="restart"/>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szCs w:val="22"/>
              </w:rPr>
            </w:pPr>
            <w:r>
              <w:rPr>
                <w:rFonts w:hint="eastAsia" w:ascii="仿宋" w:hAnsi="仿宋" w:eastAsia="仿宋" w:cs="仿宋"/>
                <w:b/>
                <w:sz w:val="24"/>
                <w:szCs w:val="22"/>
              </w:rPr>
              <w:t>内容</w:t>
            </w:r>
          </w:p>
        </w:tc>
        <w:tc>
          <w:tcPr>
            <w:tcW w:w="1022" w:type="pct"/>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szCs w:val="22"/>
              </w:rPr>
            </w:pPr>
            <w:r>
              <w:rPr>
                <w:rFonts w:hint="eastAsia" w:ascii="仿宋" w:hAnsi="仿宋" w:eastAsia="仿宋" w:cs="仿宋"/>
                <w:b/>
                <w:sz w:val="24"/>
                <w:szCs w:val="22"/>
              </w:rPr>
              <w:t>资质</w:t>
            </w:r>
            <w:r>
              <w:rPr>
                <w:rFonts w:hint="eastAsia" w:ascii="仿宋" w:hAnsi="仿宋" w:eastAsia="仿宋" w:cs="仿宋"/>
                <w:b/>
                <w:sz w:val="24"/>
              </w:rPr>
              <w:t>条件</w:t>
            </w:r>
            <w:r>
              <w:rPr>
                <w:rFonts w:hint="eastAsia" w:ascii="仿宋" w:hAnsi="仿宋" w:eastAsia="仿宋" w:cs="仿宋"/>
                <w:b/>
                <w:sz w:val="24"/>
                <w:szCs w:val="22"/>
              </w:rPr>
              <w:t>保持</w:t>
            </w:r>
            <w:r>
              <w:rPr>
                <w:rFonts w:hint="eastAsia" w:ascii="仿宋" w:hAnsi="仿宋" w:eastAsia="仿宋" w:cs="仿宋"/>
                <w:b/>
                <w:sz w:val="24"/>
              </w:rPr>
              <w:t>和符合性</w:t>
            </w:r>
          </w:p>
        </w:tc>
        <w:tc>
          <w:tcPr>
            <w:tcW w:w="3437" w:type="pct"/>
            <w:tcBorders>
              <w:top w:val="single" w:color="auto" w:sz="4" w:space="0"/>
              <w:left w:val="single" w:color="auto" w:sz="4" w:space="0"/>
              <w:right w:val="single" w:color="auto" w:sz="4" w:space="0"/>
            </w:tcBorders>
            <w:shd w:val="clear" w:color="auto" w:fill="FFFFFF"/>
            <w:vAlign w:val="center"/>
          </w:tcPr>
          <w:p>
            <w:pPr>
              <w:pStyle w:val="17"/>
              <w:shd w:val="clear" w:color="auto" w:fill="auto"/>
              <w:spacing w:line="300" w:lineRule="exact"/>
              <w:rPr>
                <w:rFonts w:ascii="仿宋" w:hAnsi="仿宋" w:eastAsia="仿宋" w:cs="仿宋"/>
                <w:sz w:val="24"/>
                <w:szCs w:val="22"/>
              </w:rPr>
            </w:pPr>
            <w:r>
              <w:rPr>
                <w:rFonts w:hint="eastAsia" w:ascii="仿宋" w:hAnsi="仿宋" w:eastAsia="仿宋" w:cs="仿宋"/>
                <w:sz w:val="24"/>
                <w:szCs w:val="22"/>
              </w:rPr>
              <w:t>否决项：</w:t>
            </w:r>
            <w:r>
              <w:rPr>
                <w:rFonts w:hint="eastAsia" w:ascii="仿宋" w:hAnsi="仿宋" w:eastAsia="仿宋" w:cs="仿宋"/>
                <w:sz w:val="24"/>
                <w:szCs w:val="24"/>
                <w:lang w:val="en-US"/>
              </w:rPr>
              <w:t>4</w:t>
            </w:r>
            <w:r>
              <w:rPr>
                <w:rFonts w:hint="eastAsia" w:ascii="仿宋" w:hAnsi="仿宋" w:eastAsia="仿宋" w:cs="仿宋"/>
                <w:sz w:val="24"/>
                <w:szCs w:val="22"/>
              </w:rPr>
              <w:t xml:space="preserve"> 项，</w:t>
            </w:r>
            <w:r>
              <w:rPr>
                <w:rFonts w:hint="eastAsia" w:ascii="仿宋" w:hAnsi="仿宋" w:eastAsia="仿宋" w:cs="仿宋"/>
                <w:sz w:val="24"/>
                <w:szCs w:val="24"/>
              </w:rPr>
              <w:t>其中：</w:t>
            </w:r>
            <w:r>
              <w:rPr>
                <w:rFonts w:hint="eastAsia" w:ascii="仿宋" w:hAnsi="仿宋" w:eastAsia="仿宋" w:cs="仿宋"/>
                <w:sz w:val="24"/>
                <w:szCs w:val="24"/>
                <w:lang w:val="en-US"/>
              </w:rPr>
              <w:t>符合</w:t>
            </w:r>
            <w:r>
              <w:rPr>
                <w:rFonts w:hint="eastAsia" w:ascii="仿宋" w:hAnsi="仿宋" w:eastAsia="仿宋" w:cs="仿宋"/>
                <w:sz w:val="24"/>
                <w:szCs w:val="24"/>
              </w:rPr>
              <w:t>____项，</w:t>
            </w:r>
            <w:r>
              <w:rPr>
                <w:rFonts w:hint="eastAsia" w:ascii="仿宋" w:hAnsi="仿宋" w:eastAsia="仿宋" w:cs="仿宋"/>
                <w:sz w:val="24"/>
                <w:szCs w:val="22"/>
                <w:lang w:val="en-US"/>
              </w:rPr>
              <w:t>不符合</w:t>
            </w:r>
            <w:r>
              <w:rPr>
                <w:rFonts w:hint="eastAsia" w:ascii="仿宋" w:hAnsi="仿宋" w:eastAsia="仿宋" w:cs="仿宋"/>
                <w:sz w:val="24"/>
                <w:szCs w:val="24"/>
              </w:rPr>
              <w:t>_____</w:t>
            </w:r>
            <w:r>
              <w:rPr>
                <w:rFonts w:hint="eastAsia" w:ascii="仿宋" w:hAnsi="仿宋" w:eastAsia="仿宋" w:cs="仿宋"/>
                <w:sz w:val="24"/>
                <w:szCs w:val="22"/>
              </w:rPr>
              <w:t>项。</w:t>
            </w:r>
          </w:p>
          <w:p>
            <w:pPr>
              <w:pStyle w:val="17"/>
              <w:shd w:val="clear" w:color="auto" w:fill="auto"/>
              <w:spacing w:line="300" w:lineRule="exact"/>
              <w:rPr>
                <w:rFonts w:ascii="仿宋" w:hAnsi="仿宋" w:eastAsia="仿宋" w:cs="仿宋"/>
                <w:sz w:val="24"/>
                <w:szCs w:val="22"/>
                <w:lang w:val="en-US"/>
              </w:rPr>
            </w:pPr>
            <w:r>
              <w:rPr>
                <w:rFonts w:hint="eastAsia" w:ascii="仿宋" w:hAnsi="仿宋" w:eastAsia="仿宋" w:cs="仿宋"/>
                <w:sz w:val="24"/>
              </w:rPr>
              <w:t>关键项：</w:t>
            </w:r>
            <w:r>
              <w:rPr>
                <w:rFonts w:hint="eastAsia" w:ascii="仿宋" w:hAnsi="仿宋" w:eastAsia="仿宋" w:cs="仿宋"/>
                <w:sz w:val="24"/>
                <w:lang w:val="en-US"/>
              </w:rPr>
              <w:t>1</w:t>
            </w:r>
            <w:r>
              <w:rPr>
                <w:rFonts w:hint="eastAsia" w:ascii="仿宋" w:hAnsi="仿宋" w:eastAsia="仿宋" w:cs="仿宋"/>
                <w:sz w:val="24"/>
                <w:szCs w:val="22"/>
              </w:rPr>
              <w:t>项，</w:t>
            </w:r>
            <w:r>
              <w:rPr>
                <w:rFonts w:hint="eastAsia" w:ascii="仿宋" w:hAnsi="仿宋" w:eastAsia="仿宋" w:cs="仿宋"/>
                <w:sz w:val="24"/>
                <w:szCs w:val="24"/>
                <w:lang w:val="en-US"/>
              </w:rPr>
              <w:t>符合</w:t>
            </w:r>
            <w:r>
              <w:rPr>
                <w:rFonts w:hint="eastAsia" w:ascii="仿宋" w:hAnsi="仿宋" w:eastAsia="仿宋" w:cs="仿宋"/>
                <w:sz w:val="24"/>
                <w:szCs w:val="24"/>
              </w:rPr>
              <w:t>____项，</w:t>
            </w:r>
            <w:r>
              <w:rPr>
                <w:rFonts w:hint="eastAsia" w:ascii="仿宋" w:hAnsi="仿宋" w:eastAsia="仿宋" w:cs="仿宋"/>
                <w:sz w:val="24"/>
                <w:szCs w:val="22"/>
                <w:lang w:val="en-US"/>
              </w:rPr>
              <w:t>不符合</w:t>
            </w:r>
            <w:r>
              <w:rPr>
                <w:rFonts w:hint="eastAsia" w:ascii="仿宋" w:hAnsi="仿宋" w:eastAsia="仿宋" w:cs="仿宋"/>
                <w:sz w:val="24"/>
                <w:szCs w:val="24"/>
              </w:rPr>
              <w:t>_____</w:t>
            </w:r>
            <w:r>
              <w:rPr>
                <w:rFonts w:hint="eastAsia" w:ascii="仿宋" w:hAnsi="仿宋" w:eastAsia="仿宋" w:cs="仿宋"/>
                <w:sz w:val="24"/>
                <w:szCs w:val="22"/>
              </w:rPr>
              <w:t>项。</w:t>
            </w:r>
          </w:p>
          <w:p>
            <w:pPr>
              <w:pStyle w:val="17"/>
              <w:shd w:val="clear" w:color="auto" w:fill="auto"/>
              <w:spacing w:line="300" w:lineRule="exact"/>
              <w:rPr>
                <w:rFonts w:ascii="仿宋" w:hAnsi="仿宋" w:eastAsia="仿宋" w:cs="仿宋"/>
                <w:sz w:val="24"/>
              </w:rPr>
            </w:pPr>
            <w:r>
              <w:rPr>
                <w:rFonts w:hint="eastAsia" w:ascii="仿宋" w:hAnsi="仿宋" w:eastAsia="仿宋" w:cs="仿宋"/>
                <w:sz w:val="24"/>
                <w:szCs w:val="22"/>
              </w:rPr>
              <w:t>一般项：</w:t>
            </w:r>
            <w:r>
              <w:rPr>
                <w:rFonts w:hint="eastAsia" w:ascii="仿宋" w:hAnsi="仿宋" w:eastAsia="仿宋" w:cs="仿宋"/>
                <w:sz w:val="24"/>
                <w:lang w:val="en-US"/>
              </w:rPr>
              <w:t>8</w:t>
            </w:r>
            <w:r>
              <w:rPr>
                <w:rFonts w:hint="eastAsia" w:ascii="仿宋" w:hAnsi="仿宋" w:eastAsia="仿宋" w:cs="仿宋"/>
                <w:sz w:val="24"/>
                <w:szCs w:val="22"/>
              </w:rPr>
              <w:t>项，</w:t>
            </w:r>
            <w:r>
              <w:rPr>
                <w:rFonts w:hint="eastAsia" w:ascii="仿宋" w:hAnsi="仿宋" w:eastAsia="仿宋" w:cs="仿宋"/>
                <w:sz w:val="24"/>
                <w:szCs w:val="24"/>
              </w:rPr>
              <w:t xml:space="preserve">总分 </w:t>
            </w:r>
            <w:r>
              <w:rPr>
                <w:rFonts w:hint="eastAsia" w:ascii="仿宋" w:hAnsi="仿宋" w:eastAsia="仿宋" w:cs="仿宋"/>
                <w:sz w:val="24"/>
                <w:szCs w:val="24"/>
                <w:lang w:val="en-US"/>
              </w:rPr>
              <w:t>33</w:t>
            </w:r>
            <w:r>
              <w:rPr>
                <w:rFonts w:hint="eastAsia" w:ascii="仿宋" w:hAnsi="仿宋" w:eastAsia="仿宋" w:cs="仿宋"/>
                <w:sz w:val="24"/>
                <w:szCs w:val="24"/>
              </w:rPr>
              <w:t xml:space="preserve"> 分，得分：</w:t>
            </w:r>
            <w:r>
              <w:rPr>
                <w:rFonts w:hint="eastAsia" w:ascii="仿宋" w:hAnsi="仿宋" w:eastAsia="仿宋" w:cs="仿宋"/>
                <w:sz w:val="24"/>
                <w:szCs w:val="24"/>
                <w:u w:val="single"/>
                <w:lang w:val="en-US"/>
              </w:rPr>
              <w:t xml:space="preserve">    </w:t>
            </w:r>
            <w:r>
              <w:rPr>
                <w:rFonts w:hint="eastAsia" w:ascii="仿宋" w:hAnsi="仿宋" w:eastAsia="仿宋" w:cs="仿宋"/>
                <w:sz w:val="24"/>
                <w:szCs w:val="24"/>
              </w:rPr>
              <w:t>分</w:t>
            </w:r>
            <w:r>
              <w:rPr>
                <w:rFonts w:hint="eastAsia" w:ascii="仿宋" w:hAnsi="仿宋" w:eastAsia="仿宋" w:cs="仿宋"/>
                <w:sz w:val="24"/>
                <w:szCs w:val="22"/>
              </w:rPr>
              <w:t>。</w:t>
            </w:r>
          </w:p>
        </w:tc>
      </w:tr>
      <w:tr>
        <w:tblPrEx>
          <w:tblCellMar>
            <w:top w:w="0" w:type="dxa"/>
            <w:left w:w="57" w:type="dxa"/>
            <w:bottom w:w="0" w:type="dxa"/>
            <w:right w:w="57" w:type="dxa"/>
          </w:tblCellMar>
        </w:tblPrEx>
        <w:trPr>
          <w:trHeight w:val="595" w:hRule="atLeast"/>
        </w:trPr>
        <w:tc>
          <w:tcPr>
            <w:tcW w:w="539" w:type="pct"/>
            <w:vMerge w:val="continue"/>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szCs w:val="22"/>
              </w:rPr>
            </w:pPr>
          </w:p>
        </w:tc>
        <w:tc>
          <w:tcPr>
            <w:tcW w:w="1022" w:type="pct"/>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szCs w:val="22"/>
              </w:rPr>
            </w:pPr>
            <w:r>
              <w:rPr>
                <w:rFonts w:hint="eastAsia" w:ascii="仿宋" w:hAnsi="仿宋" w:eastAsia="仿宋" w:cs="仿宋"/>
                <w:b/>
                <w:sz w:val="24"/>
                <w:szCs w:val="22"/>
              </w:rPr>
              <w:t>服务规范性</w:t>
            </w:r>
          </w:p>
        </w:tc>
        <w:tc>
          <w:tcPr>
            <w:tcW w:w="3437" w:type="pct"/>
            <w:tcBorders>
              <w:top w:val="single" w:color="auto" w:sz="4" w:space="0"/>
              <w:left w:val="single" w:color="auto" w:sz="4" w:space="0"/>
              <w:right w:val="single" w:color="auto" w:sz="4" w:space="0"/>
            </w:tcBorders>
            <w:shd w:val="clear" w:color="auto" w:fill="FFFFFF"/>
            <w:vAlign w:val="center"/>
          </w:tcPr>
          <w:p>
            <w:pPr>
              <w:pStyle w:val="17"/>
              <w:shd w:val="clear" w:color="auto" w:fill="auto"/>
              <w:spacing w:line="300" w:lineRule="exact"/>
              <w:rPr>
                <w:rFonts w:ascii="仿宋" w:hAnsi="仿宋" w:eastAsia="仿宋" w:cs="仿宋"/>
                <w:sz w:val="24"/>
              </w:rPr>
            </w:pPr>
            <w:r>
              <w:rPr>
                <w:rFonts w:hint="eastAsia" w:ascii="仿宋" w:hAnsi="仿宋" w:eastAsia="仿宋" w:cs="仿宋"/>
                <w:sz w:val="24"/>
              </w:rPr>
              <w:t>关键项：</w:t>
            </w:r>
            <w:r>
              <w:rPr>
                <w:rFonts w:hint="eastAsia" w:ascii="仿宋" w:hAnsi="仿宋" w:eastAsia="仿宋" w:cs="仿宋"/>
                <w:sz w:val="24"/>
                <w:lang w:val="en-US"/>
              </w:rPr>
              <w:t>3</w:t>
            </w:r>
            <w:r>
              <w:rPr>
                <w:rFonts w:hint="eastAsia" w:ascii="仿宋" w:hAnsi="仿宋" w:eastAsia="仿宋" w:cs="仿宋"/>
                <w:sz w:val="24"/>
                <w:szCs w:val="22"/>
              </w:rPr>
              <w:t>项，</w:t>
            </w:r>
            <w:r>
              <w:rPr>
                <w:rFonts w:hint="eastAsia" w:ascii="仿宋" w:hAnsi="仿宋" w:eastAsia="仿宋" w:cs="仿宋"/>
                <w:sz w:val="24"/>
                <w:szCs w:val="24"/>
                <w:lang w:val="en-US"/>
              </w:rPr>
              <w:t>符合</w:t>
            </w:r>
            <w:r>
              <w:rPr>
                <w:rFonts w:hint="eastAsia" w:ascii="仿宋" w:hAnsi="仿宋" w:eastAsia="仿宋" w:cs="仿宋"/>
                <w:sz w:val="24"/>
                <w:szCs w:val="24"/>
              </w:rPr>
              <w:t>____项，</w:t>
            </w:r>
            <w:r>
              <w:rPr>
                <w:rFonts w:hint="eastAsia" w:ascii="仿宋" w:hAnsi="仿宋" w:eastAsia="仿宋" w:cs="仿宋"/>
                <w:sz w:val="24"/>
                <w:szCs w:val="22"/>
                <w:lang w:val="en-US"/>
              </w:rPr>
              <w:t>不符合</w:t>
            </w:r>
            <w:bookmarkStart w:id="4" w:name="OLE_LINK7"/>
            <w:r>
              <w:rPr>
                <w:rFonts w:hint="eastAsia" w:ascii="仿宋" w:hAnsi="仿宋" w:eastAsia="仿宋" w:cs="仿宋"/>
                <w:sz w:val="24"/>
                <w:szCs w:val="24"/>
              </w:rPr>
              <w:t>_____</w:t>
            </w:r>
            <w:bookmarkEnd w:id="4"/>
            <w:r>
              <w:rPr>
                <w:rFonts w:hint="eastAsia" w:ascii="仿宋" w:hAnsi="仿宋" w:eastAsia="仿宋" w:cs="仿宋"/>
                <w:sz w:val="24"/>
                <w:szCs w:val="22"/>
              </w:rPr>
              <w:t>项。</w:t>
            </w:r>
          </w:p>
          <w:p>
            <w:pPr>
              <w:pStyle w:val="17"/>
              <w:shd w:val="clear" w:color="auto" w:fill="auto"/>
              <w:spacing w:line="300" w:lineRule="exact"/>
              <w:rPr>
                <w:rFonts w:ascii="仿宋" w:hAnsi="仿宋" w:eastAsia="仿宋" w:cs="仿宋"/>
                <w:sz w:val="24"/>
              </w:rPr>
            </w:pPr>
            <w:r>
              <w:rPr>
                <w:rFonts w:hint="eastAsia" w:ascii="仿宋" w:hAnsi="仿宋" w:eastAsia="仿宋" w:cs="仿宋"/>
                <w:sz w:val="24"/>
                <w:szCs w:val="22"/>
              </w:rPr>
              <w:t>一般项：</w:t>
            </w:r>
            <w:r>
              <w:rPr>
                <w:rFonts w:hint="eastAsia" w:ascii="仿宋" w:hAnsi="仿宋" w:eastAsia="仿宋" w:cs="仿宋"/>
                <w:sz w:val="24"/>
                <w:lang w:val="en-US"/>
              </w:rPr>
              <w:t>10</w:t>
            </w:r>
            <w:r>
              <w:rPr>
                <w:rFonts w:hint="eastAsia" w:ascii="仿宋" w:hAnsi="仿宋" w:eastAsia="仿宋" w:cs="仿宋"/>
                <w:sz w:val="24"/>
                <w:szCs w:val="22"/>
              </w:rPr>
              <w:t xml:space="preserve">项，总分 </w:t>
            </w:r>
            <w:r>
              <w:rPr>
                <w:rFonts w:hint="eastAsia" w:ascii="仿宋" w:hAnsi="仿宋" w:eastAsia="仿宋" w:cs="仿宋"/>
                <w:sz w:val="24"/>
                <w:lang w:val="en-US"/>
              </w:rPr>
              <w:t>67</w:t>
            </w:r>
            <w:r>
              <w:rPr>
                <w:rFonts w:hint="eastAsia" w:ascii="仿宋" w:hAnsi="仿宋" w:eastAsia="仿宋" w:cs="仿宋"/>
                <w:sz w:val="24"/>
                <w:szCs w:val="22"/>
              </w:rPr>
              <w:t>分，得分：</w:t>
            </w:r>
            <w:r>
              <w:rPr>
                <w:rFonts w:hint="eastAsia" w:ascii="仿宋" w:hAnsi="仿宋" w:eastAsia="仿宋" w:cs="仿宋"/>
                <w:sz w:val="24"/>
                <w:szCs w:val="24"/>
              </w:rPr>
              <w:t>_____</w:t>
            </w:r>
            <w:r>
              <w:rPr>
                <w:rFonts w:hint="eastAsia" w:ascii="仿宋" w:hAnsi="仿宋" w:eastAsia="仿宋" w:cs="仿宋"/>
                <w:sz w:val="24"/>
                <w:szCs w:val="22"/>
              </w:rPr>
              <w:t>分。</w:t>
            </w:r>
          </w:p>
        </w:tc>
      </w:tr>
      <w:tr>
        <w:tblPrEx>
          <w:tblCellMar>
            <w:top w:w="0" w:type="dxa"/>
            <w:left w:w="57" w:type="dxa"/>
            <w:bottom w:w="0" w:type="dxa"/>
            <w:right w:w="57" w:type="dxa"/>
          </w:tblCellMar>
        </w:tblPrEx>
        <w:trPr>
          <w:trHeight w:val="595" w:hRule="atLeast"/>
        </w:trPr>
        <w:tc>
          <w:tcPr>
            <w:tcW w:w="539" w:type="pct"/>
            <w:vMerge w:val="continue"/>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szCs w:val="22"/>
              </w:rPr>
            </w:pPr>
          </w:p>
        </w:tc>
        <w:tc>
          <w:tcPr>
            <w:tcW w:w="1022" w:type="pct"/>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szCs w:val="22"/>
              </w:rPr>
            </w:pPr>
            <w:r>
              <w:rPr>
                <w:rFonts w:hint="eastAsia" w:ascii="仿宋" w:hAnsi="仿宋" w:eastAsia="仿宋" w:cs="仿宋"/>
                <w:b/>
                <w:sz w:val="24"/>
                <w:szCs w:val="22"/>
              </w:rPr>
              <w:t>服务真实性</w:t>
            </w:r>
          </w:p>
        </w:tc>
        <w:tc>
          <w:tcPr>
            <w:tcW w:w="3437" w:type="pct"/>
            <w:tcBorders>
              <w:top w:val="single" w:color="auto" w:sz="4" w:space="0"/>
              <w:left w:val="single" w:color="auto" w:sz="4" w:space="0"/>
              <w:right w:val="single" w:color="auto" w:sz="4" w:space="0"/>
            </w:tcBorders>
            <w:shd w:val="clear" w:color="auto" w:fill="FFFFFF"/>
            <w:vAlign w:val="center"/>
          </w:tcPr>
          <w:p>
            <w:pPr>
              <w:rPr>
                <w:rFonts w:ascii="仿宋" w:hAnsi="仿宋" w:eastAsia="仿宋" w:cs="仿宋"/>
                <w:sz w:val="24"/>
              </w:rPr>
            </w:pPr>
            <w:r>
              <w:rPr>
                <w:rFonts w:hint="eastAsia" w:ascii="仿宋" w:hAnsi="仿宋" w:eastAsia="仿宋" w:cs="仿宋"/>
                <w:sz w:val="24"/>
                <w:szCs w:val="22"/>
              </w:rPr>
              <w:t>关键项： 4</w:t>
            </w:r>
            <w:r>
              <w:rPr>
                <w:rFonts w:hint="eastAsia" w:ascii="仿宋" w:hAnsi="仿宋" w:eastAsia="仿宋" w:cs="仿宋"/>
                <w:sz w:val="24"/>
              </w:rPr>
              <w:t>项，其中：符合____项，</w:t>
            </w:r>
            <w:r>
              <w:rPr>
                <w:rFonts w:hint="eastAsia" w:ascii="仿宋" w:hAnsi="仿宋" w:eastAsia="仿宋" w:cs="仿宋"/>
                <w:sz w:val="24"/>
                <w:szCs w:val="22"/>
              </w:rPr>
              <w:t>不符合</w:t>
            </w:r>
            <w:r>
              <w:rPr>
                <w:rFonts w:hint="eastAsia" w:ascii="仿宋" w:hAnsi="仿宋" w:eastAsia="仿宋" w:cs="仿宋"/>
                <w:sz w:val="24"/>
              </w:rPr>
              <w:t>_____</w:t>
            </w:r>
            <w:r>
              <w:rPr>
                <w:rFonts w:hint="eastAsia" w:ascii="仿宋" w:hAnsi="仿宋" w:eastAsia="仿宋" w:cs="仿宋"/>
                <w:sz w:val="24"/>
                <w:szCs w:val="22"/>
              </w:rPr>
              <w:t>项。</w:t>
            </w:r>
          </w:p>
        </w:tc>
      </w:tr>
      <w:tr>
        <w:tblPrEx>
          <w:tblCellMar>
            <w:top w:w="0" w:type="dxa"/>
            <w:left w:w="57" w:type="dxa"/>
            <w:bottom w:w="0" w:type="dxa"/>
            <w:right w:w="57" w:type="dxa"/>
          </w:tblCellMar>
        </w:tblPrEx>
        <w:trPr>
          <w:trHeight w:val="595" w:hRule="atLeast"/>
        </w:trPr>
        <w:tc>
          <w:tcPr>
            <w:tcW w:w="539" w:type="pct"/>
            <w:vMerge w:val="continue"/>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rPr>
            </w:pPr>
          </w:p>
        </w:tc>
        <w:tc>
          <w:tcPr>
            <w:tcW w:w="1022" w:type="pct"/>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rPr>
            </w:pPr>
            <w:r>
              <w:rPr>
                <w:rFonts w:hint="eastAsia" w:ascii="仿宋" w:hAnsi="仿宋" w:eastAsia="仿宋" w:cs="仿宋"/>
                <w:b/>
                <w:sz w:val="24"/>
              </w:rPr>
              <w:t>得分</w:t>
            </w:r>
          </w:p>
        </w:tc>
        <w:tc>
          <w:tcPr>
            <w:tcW w:w="3437" w:type="pct"/>
            <w:tcBorders>
              <w:top w:val="single" w:color="auto" w:sz="4" w:space="0"/>
              <w:left w:val="single" w:color="auto" w:sz="4" w:space="0"/>
              <w:right w:val="single" w:color="auto" w:sz="4" w:space="0"/>
            </w:tcBorders>
            <w:shd w:val="clear" w:color="auto" w:fill="FFFFFF"/>
            <w:vAlign w:val="center"/>
          </w:tcPr>
          <w:p>
            <w:pPr>
              <w:pStyle w:val="17"/>
              <w:shd w:val="clear" w:color="auto" w:fill="auto"/>
              <w:spacing w:line="300" w:lineRule="exact"/>
              <w:rPr>
                <w:rFonts w:ascii="仿宋" w:hAnsi="仿宋" w:eastAsia="仿宋" w:cs="仿宋"/>
                <w:sz w:val="24"/>
                <w:szCs w:val="24"/>
              </w:rPr>
            </w:pPr>
            <w:r>
              <w:rPr>
                <w:rFonts w:hint="eastAsia" w:ascii="仿宋" w:hAnsi="仿宋" w:eastAsia="仿宋" w:cs="仿宋"/>
                <w:sz w:val="24"/>
                <w:szCs w:val="24"/>
              </w:rPr>
              <w:t>否决项：</w:t>
            </w:r>
            <w:r>
              <w:rPr>
                <w:rFonts w:hint="eastAsia" w:ascii="仿宋" w:hAnsi="仿宋" w:eastAsia="仿宋" w:cs="仿宋"/>
                <w:sz w:val="24"/>
                <w:szCs w:val="24"/>
                <w:lang w:val="en-US"/>
              </w:rPr>
              <w:t>4</w:t>
            </w:r>
            <w:r>
              <w:rPr>
                <w:rFonts w:hint="eastAsia" w:ascii="仿宋" w:hAnsi="仿宋" w:eastAsia="仿宋" w:cs="仿宋"/>
                <w:sz w:val="24"/>
                <w:szCs w:val="24"/>
              </w:rPr>
              <w:t>项，其中：</w:t>
            </w:r>
            <w:r>
              <w:rPr>
                <w:rFonts w:hint="eastAsia" w:ascii="仿宋" w:hAnsi="仿宋" w:eastAsia="仿宋" w:cs="仿宋"/>
                <w:sz w:val="24"/>
                <w:szCs w:val="24"/>
                <w:lang w:val="en-US"/>
              </w:rPr>
              <w:t>符合</w:t>
            </w:r>
            <w:r>
              <w:rPr>
                <w:rFonts w:hint="eastAsia" w:ascii="仿宋" w:hAnsi="仿宋" w:eastAsia="仿宋" w:cs="仿宋"/>
                <w:sz w:val="24"/>
                <w:szCs w:val="24"/>
              </w:rPr>
              <w:t>____项，</w:t>
            </w:r>
            <w:r>
              <w:rPr>
                <w:rFonts w:hint="eastAsia" w:ascii="仿宋" w:hAnsi="仿宋" w:eastAsia="仿宋" w:cs="仿宋"/>
                <w:sz w:val="24"/>
                <w:szCs w:val="22"/>
                <w:lang w:val="en-US"/>
              </w:rPr>
              <w:t>不符合</w:t>
            </w:r>
            <w:r>
              <w:rPr>
                <w:rFonts w:hint="eastAsia" w:ascii="仿宋" w:hAnsi="仿宋" w:eastAsia="仿宋" w:cs="仿宋"/>
                <w:sz w:val="24"/>
                <w:szCs w:val="24"/>
              </w:rPr>
              <w:t>_____</w:t>
            </w:r>
            <w:r>
              <w:rPr>
                <w:rFonts w:hint="eastAsia" w:ascii="仿宋" w:hAnsi="仿宋" w:eastAsia="仿宋" w:cs="仿宋"/>
                <w:sz w:val="24"/>
                <w:szCs w:val="22"/>
              </w:rPr>
              <w:t>项。</w:t>
            </w:r>
          </w:p>
          <w:p>
            <w:pPr>
              <w:pStyle w:val="17"/>
              <w:shd w:val="clear" w:color="auto" w:fill="auto"/>
              <w:spacing w:line="300" w:lineRule="exact"/>
              <w:rPr>
                <w:rFonts w:ascii="仿宋" w:hAnsi="仿宋" w:eastAsia="仿宋" w:cs="仿宋"/>
                <w:sz w:val="24"/>
              </w:rPr>
            </w:pPr>
            <w:r>
              <w:rPr>
                <w:rFonts w:hint="eastAsia" w:ascii="仿宋" w:hAnsi="仿宋" w:eastAsia="仿宋" w:cs="仿宋"/>
                <w:sz w:val="24"/>
              </w:rPr>
              <w:t>关键项：</w:t>
            </w:r>
            <w:r>
              <w:rPr>
                <w:rFonts w:hint="eastAsia" w:ascii="仿宋" w:hAnsi="仿宋" w:eastAsia="仿宋" w:cs="仿宋"/>
                <w:sz w:val="24"/>
                <w:lang w:val="en-US"/>
              </w:rPr>
              <w:t>8</w:t>
            </w:r>
            <w:r>
              <w:rPr>
                <w:rFonts w:hint="eastAsia" w:ascii="仿宋" w:hAnsi="仿宋" w:eastAsia="仿宋" w:cs="仿宋"/>
                <w:sz w:val="24"/>
              </w:rPr>
              <w:t>项，</w:t>
            </w:r>
            <w:r>
              <w:rPr>
                <w:rFonts w:hint="eastAsia" w:ascii="仿宋" w:hAnsi="仿宋" w:eastAsia="仿宋" w:cs="仿宋"/>
                <w:sz w:val="24"/>
                <w:szCs w:val="24"/>
              </w:rPr>
              <w:t>其中：</w:t>
            </w:r>
            <w:r>
              <w:rPr>
                <w:rFonts w:hint="eastAsia" w:ascii="仿宋" w:hAnsi="仿宋" w:eastAsia="仿宋" w:cs="仿宋"/>
                <w:sz w:val="24"/>
                <w:szCs w:val="24"/>
                <w:lang w:val="en-US"/>
              </w:rPr>
              <w:t>符合</w:t>
            </w:r>
            <w:r>
              <w:rPr>
                <w:rFonts w:hint="eastAsia" w:ascii="仿宋" w:hAnsi="仿宋" w:eastAsia="仿宋" w:cs="仿宋"/>
                <w:sz w:val="24"/>
                <w:szCs w:val="24"/>
              </w:rPr>
              <w:t>____项，</w:t>
            </w:r>
            <w:r>
              <w:rPr>
                <w:rFonts w:hint="eastAsia" w:ascii="仿宋" w:hAnsi="仿宋" w:eastAsia="仿宋" w:cs="仿宋"/>
                <w:sz w:val="24"/>
                <w:szCs w:val="22"/>
                <w:lang w:val="en-US"/>
              </w:rPr>
              <w:t>不符合</w:t>
            </w:r>
            <w:r>
              <w:rPr>
                <w:rFonts w:hint="eastAsia" w:ascii="仿宋" w:hAnsi="仿宋" w:eastAsia="仿宋" w:cs="仿宋"/>
                <w:sz w:val="24"/>
                <w:szCs w:val="24"/>
              </w:rPr>
              <w:t>_____</w:t>
            </w:r>
            <w:r>
              <w:rPr>
                <w:rFonts w:hint="eastAsia" w:ascii="仿宋" w:hAnsi="仿宋" w:eastAsia="仿宋" w:cs="仿宋"/>
                <w:sz w:val="24"/>
                <w:szCs w:val="22"/>
              </w:rPr>
              <w:t>项。</w:t>
            </w:r>
          </w:p>
          <w:p>
            <w:pPr>
              <w:pStyle w:val="17"/>
              <w:shd w:val="clear" w:color="auto" w:fill="auto"/>
              <w:spacing w:line="300" w:lineRule="exact"/>
              <w:rPr>
                <w:rFonts w:ascii="仿宋" w:hAnsi="仿宋" w:eastAsia="仿宋" w:cs="仿宋"/>
                <w:sz w:val="24"/>
                <w:szCs w:val="24"/>
              </w:rPr>
            </w:pPr>
            <w:r>
              <w:rPr>
                <w:rFonts w:hint="eastAsia" w:ascii="仿宋" w:hAnsi="仿宋" w:eastAsia="仿宋" w:cs="仿宋"/>
                <w:sz w:val="24"/>
              </w:rPr>
              <w:t>一般项：</w:t>
            </w:r>
            <w:r>
              <w:rPr>
                <w:rFonts w:hint="eastAsia" w:ascii="仿宋" w:hAnsi="仿宋" w:eastAsia="仿宋" w:cs="仿宋"/>
                <w:sz w:val="24"/>
                <w:lang w:val="en-US"/>
              </w:rPr>
              <w:t>18</w:t>
            </w:r>
            <w:r>
              <w:rPr>
                <w:rFonts w:hint="eastAsia" w:ascii="仿宋" w:hAnsi="仿宋" w:eastAsia="仿宋" w:cs="仿宋"/>
                <w:sz w:val="24"/>
              </w:rPr>
              <w:t>项，</w:t>
            </w:r>
            <w:r>
              <w:rPr>
                <w:rFonts w:hint="eastAsia" w:ascii="仿宋" w:hAnsi="仿宋" w:eastAsia="仿宋" w:cs="仿宋"/>
                <w:sz w:val="24"/>
                <w:szCs w:val="24"/>
              </w:rPr>
              <w:t xml:space="preserve">总分 </w:t>
            </w:r>
            <w:r>
              <w:rPr>
                <w:rFonts w:hint="eastAsia" w:ascii="仿宋" w:hAnsi="仿宋" w:eastAsia="仿宋" w:cs="仿宋"/>
                <w:sz w:val="24"/>
                <w:szCs w:val="24"/>
                <w:lang w:val="en-US"/>
              </w:rPr>
              <w:t>100</w:t>
            </w:r>
            <w:r>
              <w:rPr>
                <w:rFonts w:hint="eastAsia" w:ascii="仿宋" w:hAnsi="仿宋" w:eastAsia="仿宋" w:cs="仿宋"/>
                <w:sz w:val="24"/>
                <w:szCs w:val="24"/>
              </w:rPr>
              <w:t>分，得分：_____分。</w:t>
            </w:r>
          </w:p>
          <w:p>
            <w:pPr>
              <w:pStyle w:val="17"/>
              <w:shd w:val="clear" w:color="auto" w:fill="auto"/>
              <w:spacing w:line="300" w:lineRule="exact"/>
              <w:rPr>
                <w:rFonts w:ascii="仿宋" w:hAnsi="仿宋" w:eastAsia="仿宋" w:cs="仿宋"/>
                <w:sz w:val="24"/>
                <w:szCs w:val="24"/>
              </w:rPr>
            </w:pPr>
            <w:r>
              <w:rPr>
                <w:rFonts w:hint="eastAsia" w:ascii="仿宋" w:hAnsi="仿宋" w:eastAsia="仿宋" w:cs="仿宋"/>
                <w:sz w:val="24"/>
                <w:szCs w:val="24"/>
              </w:rPr>
              <w:t>得  分：</w:t>
            </w:r>
            <w:r>
              <w:rPr>
                <w:rFonts w:hint="eastAsia" w:ascii="仿宋" w:hAnsi="仿宋" w:eastAsia="仿宋" w:cs="仿宋"/>
                <w:sz w:val="24"/>
                <w:lang w:val="en-US"/>
              </w:rPr>
              <w:t>30</w:t>
            </w:r>
            <w:r>
              <w:rPr>
                <w:rFonts w:hint="eastAsia" w:ascii="仿宋" w:hAnsi="仿宋" w:eastAsia="仿宋" w:cs="仿宋"/>
                <w:sz w:val="24"/>
              </w:rPr>
              <w:t>项，</w:t>
            </w:r>
            <w:r>
              <w:rPr>
                <w:rFonts w:hint="eastAsia" w:ascii="仿宋" w:hAnsi="仿宋" w:eastAsia="仿宋" w:cs="仿宋"/>
                <w:sz w:val="24"/>
                <w:szCs w:val="24"/>
              </w:rPr>
              <w:t>满分100分，得分：_____分。</w:t>
            </w:r>
          </w:p>
        </w:tc>
      </w:tr>
      <w:tr>
        <w:tblPrEx>
          <w:tblCellMar>
            <w:top w:w="0" w:type="dxa"/>
            <w:left w:w="57" w:type="dxa"/>
            <w:bottom w:w="0" w:type="dxa"/>
            <w:right w:w="57" w:type="dxa"/>
          </w:tblCellMar>
        </w:tblPrEx>
        <w:trPr>
          <w:trHeight w:val="1254" w:hRule="atLeast"/>
        </w:trPr>
        <w:tc>
          <w:tcPr>
            <w:tcW w:w="1562" w:type="pct"/>
            <w:gridSpan w:val="2"/>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rPr>
            </w:pPr>
            <w:r>
              <w:rPr>
                <w:rFonts w:hint="eastAsia" w:ascii="仿宋" w:hAnsi="仿宋" w:eastAsia="仿宋" w:cs="仿宋"/>
                <w:b/>
                <w:sz w:val="24"/>
              </w:rPr>
              <w:t>存在问题</w:t>
            </w:r>
          </w:p>
        </w:tc>
        <w:tc>
          <w:tcPr>
            <w:tcW w:w="3437" w:type="pct"/>
            <w:tcBorders>
              <w:top w:val="single" w:color="auto" w:sz="4" w:space="0"/>
              <w:left w:val="single" w:color="auto" w:sz="4" w:space="0"/>
              <w:right w:val="single" w:color="auto" w:sz="4" w:space="0"/>
            </w:tcBorders>
            <w:shd w:val="clear" w:color="auto" w:fill="FFFFFF"/>
            <w:vAlign w:val="center"/>
          </w:tcPr>
          <w:p>
            <w:pPr>
              <w:pStyle w:val="17"/>
              <w:shd w:val="clear" w:color="auto" w:fill="auto"/>
              <w:spacing w:line="300" w:lineRule="exact"/>
              <w:rPr>
                <w:rFonts w:ascii="仿宋" w:hAnsi="仿宋" w:eastAsia="仿宋" w:cs="仿宋"/>
                <w:sz w:val="24"/>
                <w:szCs w:val="24"/>
              </w:rPr>
            </w:pPr>
          </w:p>
        </w:tc>
      </w:tr>
      <w:tr>
        <w:tblPrEx>
          <w:tblCellMar>
            <w:top w:w="0" w:type="dxa"/>
            <w:left w:w="57" w:type="dxa"/>
            <w:bottom w:w="0" w:type="dxa"/>
            <w:right w:w="57" w:type="dxa"/>
          </w:tblCellMar>
        </w:tblPrEx>
        <w:trPr>
          <w:trHeight w:val="567" w:hRule="exact"/>
        </w:trPr>
        <w:tc>
          <w:tcPr>
            <w:tcW w:w="1562" w:type="pct"/>
            <w:gridSpan w:val="2"/>
            <w:tcBorders>
              <w:top w:val="single" w:color="auto" w:sz="4" w:space="0"/>
              <w:left w:val="single" w:color="auto" w:sz="4" w:space="0"/>
            </w:tcBorders>
            <w:shd w:val="clear" w:color="auto" w:fill="FFFFFF"/>
            <w:vAlign w:val="center"/>
          </w:tcPr>
          <w:p>
            <w:pPr>
              <w:pStyle w:val="17"/>
              <w:shd w:val="clear" w:color="auto" w:fill="auto"/>
              <w:spacing w:line="300" w:lineRule="exact"/>
              <w:jc w:val="center"/>
              <w:rPr>
                <w:rFonts w:ascii="仿宋" w:hAnsi="仿宋" w:eastAsia="仿宋" w:cs="仿宋"/>
                <w:b/>
                <w:sz w:val="24"/>
                <w:szCs w:val="22"/>
              </w:rPr>
            </w:pPr>
            <w:r>
              <w:rPr>
                <w:rFonts w:hint="eastAsia" w:ascii="仿宋" w:hAnsi="仿宋" w:eastAsia="仿宋" w:cs="仿宋"/>
                <w:b/>
                <w:sz w:val="24"/>
                <w:szCs w:val="22"/>
              </w:rPr>
              <w:t>评估检查结果</w:t>
            </w:r>
          </w:p>
        </w:tc>
        <w:tc>
          <w:tcPr>
            <w:tcW w:w="3437" w:type="pct"/>
            <w:tcBorders>
              <w:top w:val="single" w:color="auto" w:sz="4" w:space="0"/>
              <w:left w:val="single" w:color="auto" w:sz="4" w:space="0"/>
              <w:right w:val="single" w:color="auto" w:sz="4" w:space="0"/>
            </w:tcBorders>
            <w:shd w:val="clear" w:color="auto" w:fill="FFFFFF"/>
            <w:vAlign w:val="center"/>
          </w:tcPr>
          <w:p>
            <w:pPr>
              <w:pStyle w:val="17"/>
              <w:shd w:val="clear" w:color="auto" w:fill="auto"/>
              <w:tabs>
                <w:tab w:val="left" w:pos="2386"/>
              </w:tabs>
              <w:spacing w:line="300" w:lineRule="exact"/>
              <w:jc w:val="both"/>
              <w:rPr>
                <w:rFonts w:ascii="仿宋" w:hAnsi="仿宋" w:eastAsia="仿宋" w:cs="仿宋"/>
                <w:sz w:val="21"/>
                <w:szCs w:val="22"/>
              </w:rPr>
            </w:pPr>
            <w:r>
              <w:rPr>
                <w:rFonts w:hint="eastAsia" w:ascii="仿宋" w:hAnsi="仿宋" w:eastAsia="仿宋" w:cs="仿宋"/>
                <w:sz w:val="24"/>
                <w:szCs w:val="24"/>
              </w:rPr>
              <w:t>□优 秀        □合 格</w:t>
            </w:r>
            <w:r>
              <w:rPr>
                <w:rFonts w:hint="eastAsia" w:ascii="仿宋" w:hAnsi="仿宋" w:eastAsia="仿宋" w:cs="仿宋"/>
                <w:sz w:val="24"/>
                <w:szCs w:val="24"/>
              </w:rPr>
              <w:tab/>
            </w:r>
            <w:r>
              <w:rPr>
                <w:rFonts w:hint="eastAsia" w:ascii="仿宋" w:hAnsi="仿宋" w:eastAsia="仿宋" w:cs="仿宋"/>
                <w:sz w:val="24"/>
                <w:szCs w:val="24"/>
              </w:rPr>
              <w:t xml:space="preserve">     □不合格</w:t>
            </w:r>
          </w:p>
        </w:tc>
      </w:tr>
      <w:tr>
        <w:tblPrEx>
          <w:tblCellMar>
            <w:top w:w="0" w:type="dxa"/>
            <w:left w:w="57" w:type="dxa"/>
            <w:bottom w:w="0" w:type="dxa"/>
            <w:right w:w="57" w:type="dxa"/>
          </w:tblCellMar>
        </w:tblPrEx>
        <w:trPr>
          <w:trHeight w:val="1842" w:hRule="exact"/>
        </w:trPr>
        <w:tc>
          <w:tcPr>
            <w:tcW w:w="1562" w:type="pct"/>
            <w:gridSpan w:val="2"/>
            <w:tcBorders>
              <w:top w:val="single" w:color="auto" w:sz="4" w:space="0"/>
              <w:left w:val="single" w:color="auto" w:sz="4" w:space="0"/>
              <w:bottom w:val="single" w:color="auto" w:sz="4" w:space="0"/>
            </w:tcBorders>
            <w:shd w:val="clear" w:color="auto" w:fill="FFFFFF"/>
          </w:tcPr>
          <w:p>
            <w:pPr>
              <w:pStyle w:val="17"/>
              <w:shd w:val="clear" w:color="auto" w:fill="auto"/>
              <w:spacing w:line="300" w:lineRule="exact"/>
              <w:jc w:val="center"/>
              <w:rPr>
                <w:rFonts w:ascii="仿宋" w:hAnsi="仿宋" w:eastAsia="仿宋" w:cs="仿宋"/>
                <w:sz w:val="24"/>
                <w:szCs w:val="24"/>
              </w:rPr>
            </w:pPr>
          </w:p>
          <w:p>
            <w:pPr>
              <w:pStyle w:val="17"/>
              <w:shd w:val="clear" w:color="auto" w:fill="auto"/>
              <w:spacing w:line="300" w:lineRule="exact"/>
              <w:rPr>
                <w:rFonts w:ascii="仿宋" w:hAnsi="仿宋" w:eastAsia="仿宋" w:cs="仿宋"/>
                <w:sz w:val="21"/>
                <w:szCs w:val="22"/>
              </w:rPr>
            </w:pPr>
            <w:r>
              <w:rPr>
                <w:rFonts w:hint="eastAsia" w:ascii="仿宋" w:hAnsi="仿宋" w:eastAsia="仿宋" w:cs="仿宋"/>
                <w:sz w:val="24"/>
                <w:szCs w:val="22"/>
              </w:rPr>
              <w:t>组长签名：</w:t>
            </w:r>
          </w:p>
          <w:p>
            <w:pPr>
              <w:pStyle w:val="17"/>
              <w:shd w:val="clear" w:color="auto" w:fill="auto"/>
              <w:spacing w:line="300" w:lineRule="exact"/>
              <w:jc w:val="center"/>
              <w:rPr>
                <w:rFonts w:ascii="仿宋" w:hAnsi="仿宋" w:eastAsia="仿宋" w:cs="仿宋"/>
                <w:sz w:val="24"/>
                <w:szCs w:val="22"/>
              </w:rPr>
            </w:pPr>
          </w:p>
          <w:p>
            <w:pPr>
              <w:pStyle w:val="17"/>
              <w:shd w:val="clear" w:color="auto" w:fill="auto"/>
              <w:spacing w:line="300" w:lineRule="exact"/>
              <w:jc w:val="center"/>
              <w:rPr>
                <w:rFonts w:ascii="仿宋" w:hAnsi="仿宋" w:eastAsia="仿宋" w:cs="仿宋"/>
                <w:sz w:val="24"/>
                <w:szCs w:val="22"/>
              </w:rPr>
            </w:pPr>
          </w:p>
          <w:p>
            <w:pPr>
              <w:pStyle w:val="17"/>
              <w:shd w:val="clear" w:color="auto" w:fill="auto"/>
              <w:spacing w:line="300" w:lineRule="exact"/>
              <w:jc w:val="center"/>
              <w:rPr>
                <w:rFonts w:ascii="仿宋" w:hAnsi="仿宋" w:eastAsia="仿宋" w:cs="仿宋"/>
                <w:sz w:val="24"/>
                <w:szCs w:val="24"/>
              </w:rPr>
            </w:pPr>
          </w:p>
          <w:p>
            <w:pPr>
              <w:pStyle w:val="17"/>
              <w:shd w:val="clear" w:color="auto" w:fill="auto"/>
              <w:spacing w:line="300" w:lineRule="exact"/>
              <w:jc w:val="right"/>
              <w:rPr>
                <w:rFonts w:ascii="仿宋" w:hAnsi="仿宋" w:eastAsia="仿宋" w:cs="仿宋"/>
                <w:sz w:val="21"/>
                <w:szCs w:val="22"/>
              </w:rPr>
            </w:pPr>
            <w:r>
              <w:rPr>
                <w:rFonts w:hint="eastAsia" w:ascii="仿宋" w:hAnsi="仿宋" w:eastAsia="仿宋" w:cs="仿宋"/>
                <w:sz w:val="24"/>
                <w:szCs w:val="22"/>
              </w:rPr>
              <w:t>年   月   日</w:t>
            </w:r>
          </w:p>
        </w:tc>
        <w:tc>
          <w:tcPr>
            <w:tcW w:w="3437" w:type="pct"/>
            <w:tcBorders>
              <w:top w:val="single" w:color="auto" w:sz="4" w:space="0"/>
              <w:left w:val="single" w:color="auto" w:sz="4" w:space="0"/>
              <w:bottom w:val="single" w:color="auto" w:sz="4" w:space="0"/>
              <w:right w:val="single" w:color="auto" w:sz="4" w:space="0"/>
            </w:tcBorders>
            <w:shd w:val="clear" w:color="auto" w:fill="FFFFFF"/>
          </w:tcPr>
          <w:p>
            <w:pPr>
              <w:pStyle w:val="17"/>
              <w:shd w:val="clear" w:color="auto" w:fill="auto"/>
              <w:spacing w:line="300" w:lineRule="exact"/>
              <w:jc w:val="both"/>
              <w:rPr>
                <w:rFonts w:ascii="仿宋" w:hAnsi="仿宋" w:eastAsia="仿宋" w:cs="仿宋"/>
                <w:sz w:val="24"/>
                <w:szCs w:val="24"/>
              </w:rPr>
            </w:pPr>
          </w:p>
          <w:p>
            <w:pPr>
              <w:pStyle w:val="17"/>
              <w:shd w:val="clear" w:color="auto" w:fill="auto"/>
              <w:spacing w:line="300" w:lineRule="exact"/>
              <w:jc w:val="both"/>
              <w:rPr>
                <w:rFonts w:ascii="仿宋" w:hAnsi="仿宋" w:eastAsia="仿宋" w:cs="仿宋"/>
                <w:sz w:val="24"/>
                <w:szCs w:val="22"/>
              </w:rPr>
            </w:pPr>
            <w:r>
              <w:rPr>
                <w:rFonts w:hint="eastAsia" w:ascii="仿宋" w:hAnsi="仿宋" w:eastAsia="仿宋" w:cs="仿宋"/>
                <w:sz w:val="24"/>
                <w:szCs w:val="22"/>
              </w:rPr>
              <w:t>组员签名：</w:t>
            </w:r>
          </w:p>
          <w:p>
            <w:pPr>
              <w:pStyle w:val="17"/>
              <w:shd w:val="clear" w:color="auto" w:fill="auto"/>
              <w:spacing w:line="300" w:lineRule="exact"/>
              <w:jc w:val="both"/>
              <w:rPr>
                <w:rFonts w:ascii="仿宋" w:hAnsi="仿宋" w:eastAsia="仿宋" w:cs="仿宋"/>
                <w:sz w:val="24"/>
                <w:szCs w:val="22"/>
              </w:rPr>
            </w:pPr>
          </w:p>
          <w:p>
            <w:pPr>
              <w:pStyle w:val="17"/>
              <w:shd w:val="clear" w:color="auto" w:fill="auto"/>
              <w:spacing w:line="300" w:lineRule="exact"/>
              <w:jc w:val="both"/>
              <w:rPr>
                <w:rFonts w:ascii="仿宋" w:hAnsi="仿宋" w:eastAsia="仿宋" w:cs="仿宋"/>
                <w:sz w:val="24"/>
                <w:szCs w:val="22"/>
              </w:rPr>
            </w:pPr>
          </w:p>
          <w:p>
            <w:pPr>
              <w:pStyle w:val="17"/>
              <w:shd w:val="clear" w:color="auto" w:fill="auto"/>
              <w:spacing w:line="300" w:lineRule="exact"/>
              <w:jc w:val="both"/>
              <w:rPr>
                <w:rFonts w:ascii="仿宋" w:hAnsi="仿宋" w:eastAsia="仿宋" w:cs="仿宋"/>
                <w:sz w:val="24"/>
                <w:szCs w:val="24"/>
              </w:rPr>
            </w:pPr>
          </w:p>
          <w:p>
            <w:pPr>
              <w:pStyle w:val="17"/>
              <w:shd w:val="clear" w:color="auto" w:fill="auto"/>
              <w:spacing w:line="300" w:lineRule="exact"/>
              <w:jc w:val="both"/>
              <w:rPr>
                <w:rFonts w:ascii="仿宋" w:hAnsi="仿宋" w:eastAsia="仿宋" w:cs="仿宋"/>
                <w:sz w:val="21"/>
                <w:szCs w:val="22"/>
              </w:rPr>
            </w:pPr>
            <w:r>
              <w:rPr>
                <w:rFonts w:hint="eastAsia" w:ascii="仿宋" w:hAnsi="仿宋" w:eastAsia="仿宋" w:cs="仿宋"/>
                <w:sz w:val="24"/>
                <w:szCs w:val="22"/>
              </w:rPr>
              <w:t>年   月   日</w:t>
            </w:r>
          </w:p>
        </w:tc>
      </w:tr>
    </w:tbl>
    <w:p>
      <w:pPr>
        <w:pStyle w:val="17"/>
        <w:shd w:val="clear" w:color="auto" w:fill="auto"/>
        <w:spacing w:line="40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注</w:t>
      </w:r>
      <w:r>
        <w:rPr>
          <w:rFonts w:hint="eastAsia" w:ascii="仿宋" w:hAnsi="仿宋" w:eastAsia="仿宋" w:cs="仿宋"/>
          <w:sz w:val="28"/>
          <w:szCs w:val="28"/>
        </w:rPr>
        <w:t>：总分≥</w:t>
      </w:r>
      <w:r>
        <w:rPr>
          <w:rFonts w:hint="eastAsia" w:ascii="仿宋" w:hAnsi="仿宋" w:eastAsia="仿宋" w:cs="仿宋"/>
          <w:sz w:val="28"/>
          <w:szCs w:val="28"/>
          <w:lang w:val="en-US"/>
        </w:rPr>
        <w:t>90</w:t>
      </w:r>
      <w:r>
        <w:rPr>
          <w:rFonts w:hint="eastAsia" w:ascii="仿宋" w:hAnsi="仿宋" w:eastAsia="仿宋" w:cs="仿宋"/>
          <w:sz w:val="28"/>
          <w:szCs w:val="28"/>
        </w:rPr>
        <w:t>分的为优秀；</w:t>
      </w:r>
    </w:p>
    <w:p>
      <w:pPr>
        <w:pStyle w:val="17"/>
        <w:shd w:val="clear" w:color="auto" w:fill="auto"/>
        <w:spacing w:line="400" w:lineRule="exact"/>
        <w:ind w:firstLine="1120" w:firstLineChars="400"/>
        <w:jc w:val="both"/>
        <w:rPr>
          <w:rFonts w:ascii="仿宋" w:hAnsi="仿宋" w:eastAsia="仿宋" w:cs="仿宋"/>
          <w:sz w:val="28"/>
          <w:szCs w:val="28"/>
        </w:rPr>
      </w:pPr>
      <w:r>
        <w:rPr>
          <w:rFonts w:hint="eastAsia" w:ascii="仿宋" w:hAnsi="仿宋" w:eastAsia="仿宋" w:cs="仿宋"/>
          <w:sz w:val="28"/>
          <w:szCs w:val="28"/>
        </w:rPr>
        <w:t>60分≤总分＜</w:t>
      </w:r>
      <w:r>
        <w:rPr>
          <w:rFonts w:hint="eastAsia" w:ascii="仿宋" w:hAnsi="仿宋" w:eastAsia="仿宋" w:cs="仿宋"/>
          <w:sz w:val="28"/>
          <w:szCs w:val="28"/>
          <w:lang w:val="en-US"/>
        </w:rPr>
        <w:t>90</w:t>
      </w:r>
      <w:r>
        <w:rPr>
          <w:rFonts w:hint="eastAsia" w:ascii="仿宋" w:hAnsi="仿宋" w:eastAsia="仿宋" w:cs="仿宋"/>
          <w:sz w:val="28"/>
          <w:szCs w:val="28"/>
        </w:rPr>
        <w:t>分的为合格；</w:t>
      </w:r>
    </w:p>
    <w:p>
      <w:pPr>
        <w:pStyle w:val="17"/>
        <w:shd w:val="clear" w:color="auto" w:fill="auto"/>
        <w:spacing w:line="400" w:lineRule="exact"/>
        <w:ind w:firstLine="1120" w:firstLineChars="400"/>
        <w:jc w:val="both"/>
      </w:pPr>
      <w:r>
        <w:rPr>
          <w:rFonts w:hint="eastAsia" w:ascii="仿宋" w:hAnsi="仿宋" w:eastAsia="仿宋" w:cs="仿宋"/>
          <w:sz w:val="28"/>
          <w:szCs w:val="28"/>
        </w:rPr>
        <w:t>总分＜60分或者检查发现有否决</w:t>
      </w:r>
      <w:bookmarkStart w:id="5" w:name="_GoBack"/>
      <w:bookmarkEnd w:id="5"/>
      <w:r>
        <w:rPr>
          <w:rFonts w:hint="eastAsia" w:ascii="仿宋" w:hAnsi="仿宋" w:eastAsia="仿宋" w:cs="仿宋"/>
          <w:sz w:val="28"/>
          <w:szCs w:val="28"/>
        </w:rPr>
        <w:t>项</w:t>
      </w:r>
      <w:r>
        <w:rPr>
          <w:rFonts w:hint="eastAsia" w:ascii="仿宋" w:hAnsi="仿宋" w:eastAsia="仿宋" w:cs="仿宋"/>
          <w:sz w:val="28"/>
          <w:szCs w:val="28"/>
          <w:lang w:val="en-US"/>
        </w:rPr>
        <w:t>或关键项</w:t>
      </w:r>
      <w:r>
        <w:rPr>
          <w:rFonts w:hint="eastAsia" w:ascii="仿宋" w:hAnsi="仿宋" w:eastAsia="仿宋" w:cs="仿宋"/>
          <w:sz w:val="28"/>
          <w:szCs w:val="28"/>
        </w:rPr>
        <w:t>的为不合格</w:t>
      </w:r>
    </w:p>
    <w:sectPr>
      <w:headerReference r:id="rId5" w:type="default"/>
      <w:pgSz w:w="11906" w:h="16838"/>
      <w:pgMar w:top="1440" w:right="1800"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outside;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Y39XGzYCAABhBAAADgAAAAAAAAABACAAAAAhAQAAZHJzL2Uyb0RvYy54&#10;bWxQSwUGAAAAAAYABgBZAQAAyQ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right="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mYzNzQxOGZkODI3NjAzZWY1ZTU3NGFmY2Y0M2IifQ=="/>
  </w:docVars>
  <w:rsids>
    <w:rsidRoot w:val="00607D60"/>
    <w:rsid w:val="000D316E"/>
    <w:rsid w:val="00175862"/>
    <w:rsid w:val="001E6736"/>
    <w:rsid w:val="0021001C"/>
    <w:rsid w:val="00387693"/>
    <w:rsid w:val="003E5E76"/>
    <w:rsid w:val="00457716"/>
    <w:rsid w:val="00501F49"/>
    <w:rsid w:val="005413DD"/>
    <w:rsid w:val="006035DC"/>
    <w:rsid w:val="00607D60"/>
    <w:rsid w:val="00683573"/>
    <w:rsid w:val="007017E4"/>
    <w:rsid w:val="00705B43"/>
    <w:rsid w:val="007B6EDB"/>
    <w:rsid w:val="007D4ADD"/>
    <w:rsid w:val="007F7CB2"/>
    <w:rsid w:val="008201BE"/>
    <w:rsid w:val="008A272A"/>
    <w:rsid w:val="00957EE1"/>
    <w:rsid w:val="00A277AA"/>
    <w:rsid w:val="00A57324"/>
    <w:rsid w:val="00B01662"/>
    <w:rsid w:val="00BE2DC1"/>
    <w:rsid w:val="00C154B3"/>
    <w:rsid w:val="00D2139C"/>
    <w:rsid w:val="00D62ECE"/>
    <w:rsid w:val="29EE79BF"/>
    <w:rsid w:val="36CE6465"/>
    <w:rsid w:val="5F3E751E"/>
    <w:rsid w:val="70E1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qFormat/>
    <w:uiPriority w:val="0"/>
    <w:pPr>
      <w:keepNext/>
      <w:keepLines/>
      <w:spacing w:before="260" w:after="260" w:line="416" w:lineRule="auto"/>
      <w:ind w:firstLine="200" w:firstLineChars="200"/>
      <w:outlineLvl w:val="2"/>
    </w:pPr>
    <w:rPr>
      <w:rFonts w:eastAsia="宋体"/>
      <w:b/>
      <w:bCs/>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4">
    <w:name w:val="Balloon Text"/>
    <w:basedOn w:val="1"/>
    <w:link w:val="14"/>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envelope return"/>
    <w:basedOn w:val="1"/>
    <w:autoRedefine/>
    <w:unhideWhenUsed/>
    <w:qFormat/>
    <w:uiPriority w:val="99"/>
    <w:pPr>
      <w:snapToGrid w:val="0"/>
    </w:pPr>
    <w:rPr>
      <w:rFonts w:ascii="等线 Light" w:hAnsi="等线 Light" w:eastAsia="等线 Light"/>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customStyle="1" w:styleId="12">
    <w:name w:val="页眉 字符"/>
    <w:basedOn w:val="10"/>
    <w:link w:val="7"/>
    <w:autoRedefine/>
    <w:qFormat/>
    <w:uiPriority w:val="99"/>
    <w:rPr>
      <w:rFonts w:ascii="Times New Roman" w:hAnsi="Times New Roman" w:eastAsia="仿宋_GB2312" w:cs="Times New Roman"/>
      <w:sz w:val="18"/>
      <w:szCs w:val="18"/>
    </w:rPr>
  </w:style>
  <w:style w:type="character" w:customStyle="1" w:styleId="13">
    <w:name w:val="页脚 字符"/>
    <w:basedOn w:val="10"/>
    <w:link w:val="5"/>
    <w:autoRedefine/>
    <w:qFormat/>
    <w:uiPriority w:val="99"/>
    <w:rPr>
      <w:rFonts w:ascii="Times New Roman" w:hAnsi="Times New Roman" w:eastAsia="仿宋_GB2312" w:cs="Times New Roman"/>
      <w:sz w:val="18"/>
      <w:szCs w:val="18"/>
    </w:rPr>
  </w:style>
  <w:style w:type="character" w:customStyle="1" w:styleId="14">
    <w:name w:val="批注框文本 字符"/>
    <w:basedOn w:val="10"/>
    <w:link w:val="4"/>
    <w:autoRedefine/>
    <w:semiHidden/>
    <w:qFormat/>
    <w:uiPriority w:val="99"/>
    <w:rPr>
      <w:rFonts w:ascii="Times New Roman" w:hAnsi="Times New Roman" w:eastAsia="仿宋_GB2312" w:cs="Times New Roman"/>
      <w:sz w:val="18"/>
      <w:szCs w:val="18"/>
    </w:rPr>
  </w:style>
  <w:style w:type="paragraph" w:customStyle="1" w:styleId="15">
    <w:name w:val="Revision"/>
    <w:autoRedefine/>
    <w:hidden/>
    <w:semiHidden/>
    <w:qFormat/>
    <w:uiPriority w:val="99"/>
    <w:rPr>
      <w:rFonts w:ascii="Times New Roman" w:hAnsi="Times New Roman" w:eastAsia="仿宋_GB2312" w:cs="Times New Roman"/>
      <w:kern w:val="2"/>
      <w:sz w:val="32"/>
      <w:szCs w:val="24"/>
      <w:lang w:val="en-US" w:eastAsia="zh-CN" w:bidi="ar-SA"/>
    </w:rPr>
  </w:style>
  <w:style w:type="paragraph" w:styleId="16">
    <w:name w:val="List Paragraph"/>
    <w:basedOn w:val="1"/>
    <w:autoRedefine/>
    <w:qFormat/>
    <w:uiPriority w:val="99"/>
    <w:pPr>
      <w:ind w:firstLine="420" w:firstLineChars="200"/>
    </w:pPr>
  </w:style>
  <w:style w:type="paragraph" w:customStyle="1" w:styleId="17">
    <w:name w:val="其他"/>
    <w:basedOn w:val="1"/>
    <w:autoRedefine/>
    <w:qFormat/>
    <w:uiPriority w:val="0"/>
    <w:pPr>
      <w:shd w:val="clear" w:color="auto" w:fill="FFFFFF"/>
      <w:jc w:val="left"/>
    </w:pPr>
    <w:rPr>
      <w:rFonts w:ascii="黑体" w:hAnsi="黑体" w:eastAsia="黑体" w:cs="黑体"/>
      <w:kern w:val="0"/>
      <w:sz w:val="20"/>
      <w:szCs w:val="2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5A525-068F-4261-A0C0-7E9EF1019261}">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86</Words>
  <Characters>496</Characters>
  <Lines>4</Lines>
  <Paragraphs>1</Paragraphs>
  <TotalTime>5</TotalTime>
  <ScaleCrop>false</ScaleCrop>
  <LinksUpToDate>false</LinksUpToDate>
  <CharactersWithSpaces>581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2023-05-17T01:34:00Z</dcterms:created>
  <dc:creator>O(∩_∩)O</dc:creator>
  <cp:lastModifiedBy>李朋起</cp:lastModifiedBy>
  <cp:lastPrinted>2023-05-17T02:37:00Z</cp:lastPrinted>
  <dcterms:modified xsi:type="dcterms:W3CDTF">2024-06-14T09:08:00Z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2639F3470DCD4762B46F8A75AD411F16_13</vt:lpwstr>
  </property>
</Properties>
</file>