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仿宋" w:hAnsi="仿宋" w:eastAsia="方正小标宋简体"/>
          <w:sz w:val="44"/>
          <w:szCs w:val="44"/>
          <w:highlight w:val="none"/>
        </w:rPr>
      </w:pPr>
      <w:bookmarkStart w:id="0" w:name="_GoBack"/>
      <w:r>
        <w:rPr>
          <w:rFonts w:hint="eastAsia" w:ascii="仿宋" w:hAnsi="仿宋" w:eastAsia="方正小标宋简体"/>
          <w:sz w:val="44"/>
          <w:szCs w:val="44"/>
          <w:highlight w:val="none"/>
        </w:rPr>
        <w:t>职业性放射性疾病监测质量控制与评估办法</w:t>
      </w:r>
    </w:p>
    <w:bookmarkEnd w:id="0"/>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ascii="仿宋" w:hAnsi="仿宋" w:eastAsia="仿宋"/>
          <w:sz w:val="32"/>
          <w:szCs w:val="32"/>
        </w:rPr>
        <w:t>为加强职业性放射性疾病监测工作质量，提高监测数据的真实性、准确性和可靠性，制定本办法。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黑体"/>
          <w:sz w:val="32"/>
          <w:szCs w:val="32"/>
        </w:rPr>
      </w:pPr>
      <w:r>
        <w:rPr>
          <w:rFonts w:ascii="仿宋" w:hAnsi="仿宋" w:eastAsia="黑体"/>
          <w:sz w:val="32"/>
          <w:szCs w:val="32"/>
        </w:rPr>
        <w:t>一、做好监测业务培训</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ascii="仿宋" w:hAnsi="仿宋" w:eastAsia="仿宋"/>
          <w:sz w:val="32"/>
          <w:szCs w:val="32"/>
        </w:rPr>
        <w:t>河南省卫生健康委</w:t>
      </w:r>
      <w:r>
        <w:rPr>
          <w:rFonts w:hint="eastAsia" w:ascii="仿宋" w:hAnsi="仿宋" w:eastAsia="仿宋"/>
          <w:sz w:val="32"/>
          <w:szCs w:val="32"/>
        </w:rPr>
        <w:t>将适时</w:t>
      </w:r>
      <w:r>
        <w:rPr>
          <w:rFonts w:ascii="仿宋" w:hAnsi="仿宋" w:eastAsia="仿宋"/>
          <w:sz w:val="32"/>
          <w:szCs w:val="32"/>
        </w:rPr>
        <w:t>组织河南省第三人民医院对市级职业病监测机构业务骨干进行培训</w:t>
      </w:r>
      <w:r>
        <w:rPr>
          <w:rFonts w:hint="eastAsia" w:ascii="仿宋" w:hAnsi="仿宋" w:eastAsia="仿宋"/>
          <w:sz w:val="32"/>
          <w:szCs w:val="32"/>
        </w:rPr>
        <w:t>，</w:t>
      </w:r>
      <w:r>
        <w:rPr>
          <w:rFonts w:ascii="仿宋" w:hAnsi="仿宋" w:eastAsia="仿宋"/>
          <w:sz w:val="32"/>
          <w:szCs w:val="32"/>
        </w:rPr>
        <w:t>各省辖市、济源示范区卫生健康行政部门组织本地市、县（区）承担监测工作的业务人员业务培训，使其及时掌握监测工作方案内容及相关要求，实现监测人员培训全覆盖的目标。</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黑体"/>
          <w:sz w:val="32"/>
          <w:szCs w:val="32"/>
        </w:rPr>
      </w:pPr>
      <w:r>
        <w:rPr>
          <w:rFonts w:ascii="仿宋" w:hAnsi="仿宋" w:eastAsia="黑体"/>
          <w:sz w:val="32"/>
          <w:szCs w:val="32"/>
        </w:rPr>
        <w:t>二、加强监测过程中的管理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ascii="仿宋" w:hAnsi="仿宋" w:eastAsia="仿宋"/>
          <w:sz w:val="32"/>
          <w:szCs w:val="32"/>
        </w:rPr>
        <w:t>各省辖市、</w:t>
      </w:r>
      <w:r>
        <w:rPr>
          <w:rFonts w:hint="eastAsia" w:ascii="仿宋" w:hAnsi="仿宋" w:eastAsia="仿宋"/>
          <w:sz w:val="32"/>
          <w:szCs w:val="32"/>
        </w:rPr>
        <w:t>济源示范区</w:t>
      </w:r>
      <w:r>
        <w:rPr>
          <w:rFonts w:ascii="仿宋" w:hAnsi="仿宋" w:eastAsia="仿宋"/>
          <w:sz w:val="32"/>
          <w:szCs w:val="32"/>
        </w:rPr>
        <w:t>应当每月对本辖区职业性放射性疾病监测工作进展情况进行调度与分析，及时掌握市、县级监测工作进度及存在的质量问题，提出解决方案并报告有关领导。遇见重大质量问题应当及时向河南省卫生健康委职业健康处报告。</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黑体"/>
          <w:sz w:val="32"/>
          <w:szCs w:val="32"/>
        </w:rPr>
      </w:pPr>
      <w:r>
        <w:rPr>
          <w:rFonts w:ascii="仿宋" w:hAnsi="仿宋" w:eastAsia="黑体"/>
          <w:sz w:val="32"/>
          <w:szCs w:val="32"/>
        </w:rPr>
        <w:t>三、开展监测质量评估</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ascii="仿宋" w:hAnsi="仿宋" w:eastAsia="仿宋"/>
          <w:sz w:val="32"/>
          <w:szCs w:val="32"/>
        </w:rPr>
        <w:t>河南省卫生健康委</w:t>
      </w:r>
      <w:r>
        <w:rPr>
          <w:rFonts w:ascii="仿宋" w:hAnsi="仿宋" w:eastAsia="仿宋"/>
          <w:color w:val="000000"/>
          <w:sz w:val="32"/>
          <w:szCs w:val="32"/>
        </w:rPr>
        <w:t>组织河南省职业健康技术质量控制中心</w:t>
      </w:r>
      <w:r>
        <w:rPr>
          <w:rFonts w:ascii="仿宋" w:hAnsi="仿宋" w:eastAsia="仿宋"/>
          <w:sz w:val="32"/>
          <w:szCs w:val="32"/>
        </w:rPr>
        <w:t>对辖区内个人剂量监测机构和职业健康检查机构（放射因素类）进行技术能力考核与评估。</w:t>
      </w:r>
      <w:r>
        <w:rPr>
          <w:rFonts w:ascii="仿宋" w:hAnsi="仿宋" w:eastAsia="仿宋"/>
          <w:color w:val="000000"/>
          <w:sz w:val="32"/>
          <w:szCs w:val="32"/>
        </w:rPr>
        <w:t>河南省职业健康技术质量控制中心</w:t>
      </w:r>
      <w:r>
        <w:rPr>
          <w:rFonts w:ascii="仿宋" w:hAnsi="仿宋" w:eastAsia="仿宋"/>
          <w:sz w:val="32"/>
          <w:szCs w:val="32"/>
        </w:rPr>
        <w:t>将按要求组织专家对各省辖市监测项目的组织管理、实施情况、主要指标和质量控制等完成情况进行评估，并将评估结果上报河南省卫生健康委。各省辖市、</w:t>
      </w:r>
      <w:r>
        <w:rPr>
          <w:rFonts w:hint="eastAsia" w:ascii="仿宋" w:hAnsi="仿宋" w:eastAsia="仿宋"/>
          <w:sz w:val="32"/>
          <w:szCs w:val="32"/>
        </w:rPr>
        <w:t>济源示范区</w:t>
      </w:r>
      <w:r>
        <w:rPr>
          <w:rFonts w:ascii="仿宋" w:hAnsi="仿宋" w:eastAsia="仿宋"/>
          <w:sz w:val="32"/>
          <w:szCs w:val="32"/>
        </w:rPr>
        <w:t>也应对本市监测项目的组织管理、实施情况、主要指标和质量控制等完成情况进行评估并上报同级卫生健康行政部门。</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ascii="仿宋" w:hAnsi="仿宋" w:eastAsia="仿宋"/>
          <w:sz w:val="32"/>
          <w:szCs w:val="32"/>
        </w:rPr>
        <w:t>评估内容具体要求如下：</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楷体"/>
          <w:sz w:val="32"/>
          <w:szCs w:val="32"/>
        </w:rPr>
      </w:pPr>
      <w:r>
        <w:rPr>
          <w:rFonts w:ascii="仿宋" w:hAnsi="仿宋" w:eastAsia="楷体"/>
          <w:sz w:val="32"/>
          <w:szCs w:val="32"/>
        </w:rPr>
        <w:t>（一）个人剂量监测</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ascii="仿宋" w:hAnsi="仿宋" w:eastAsia="仿宋"/>
          <w:sz w:val="32"/>
          <w:szCs w:val="32"/>
        </w:rPr>
        <w:t>1.辖区内医院放射工作人员，一年四个周期均要监测，未按要求进行四个周期监测的不得计算在监测率内。</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ascii="仿宋" w:hAnsi="仿宋" w:eastAsia="仿宋"/>
          <w:sz w:val="32"/>
          <w:szCs w:val="32"/>
        </w:rPr>
        <w:t>评估指标：辖区内个人剂量监测率达到90%以上。</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ascii="仿宋" w:hAnsi="仿宋" w:eastAsia="仿宋"/>
          <w:sz w:val="32"/>
          <w:szCs w:val="32"/>
        </w:rPr>
        <w:t>2.介入放射学的工作人员佩戴两个热释光剂量计进行监测（围裙内胸部或腰部，围裙外颈部或肩处），一年至少监测两个周期，外部剂量计读数大于内部剂量计，且随着工作量增加外部剂量计读数明显增加。</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ascii="仿宋" w:hAnsi="仿宋" w:eastAsia="仿宋"/>
          <w:sz w:val="32"/>
          <w:szCs w:val="32"/>
        </w:rPr>
        <w:t>评估指标：监测医院介入放射工作人员（每周工作量≥10台手术）双剂量监测率达到70%以上。</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ascii="仿宋" w:hAnsi="仿宋" w:eastAsia="仿宋"/>
          <w:sz w:val="32"/>
          <w:szCs w:val="32"/>
        </w:rPr>
        <w:t>承担个人剂量监测的技术机构应是上一年度参加国家级/省级个人剂量监测能力考核，且结果为合格及以上的技术机构。</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楷体"/>
          <w:sz w:val="32"/>
          <w:szCs w:val="32"/>
        </w:rPr>
      </w:pPr>
      <w:r>
        <w:rPr>
          <w:rFonts w:ascii="仿宋" w:hAnsi="仿宋" w:eastAsia="楷体"/>
          <w:sz w:val="32"/>
          <w:szCs w:val="32"/>
        </w:rPr>
        <w:t>（二）眼晶状体和手部剂量监测</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ascii="仿宋" w:hAnsi="仿宋" w:eastAsia="仿宋"/>
          <w:sz w:val="32"/>
          <w:szCs w:val="32"/>
        </w:rPr>
        <w:t>眼晶状体和手部剂量计需要刻度校准后使用；要求规范佩戴，严格记录相关信息。</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ascii="仿宋" w:hAnsi="仿宋" w:eastAsia="仿宋"/>
          <w:sz w:val="32"/>
          <w:szCs w:val="32"/>
        </w:rPr>
        <w:t>评估指标：每个省辖市对1～2家监测医院（首选肿瘤医院，无肿瘤医院的选取综合医院）介入放射工作人员进行眼晶状体和手部剂量监测（优先选择每周工作量≥10台手术的工作人员）。</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楷体"/>
          <w:sz w:val="32"/>
          <w:szCs w:val="32"/>
        </w:rPr>
      </w:pPr>
      <w:r>
        <w:rPr>
          <w:rFonts w:ascii="仿宋" w:hAnsi="仿宋" w:eastAsia="楷体"/>
          <w:sz w:val="32"/>
          <w:szCs w:val="32"/>
        </w:rPr>
        <w:t>（三）核医学工作人员职业健康监测</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sz w:val="32"/>
          <w:szCs w:val="32"/>
        </w:rPr>
      </w:pPr>
      <w:r>
        <w:rPr>
          <w:rFonts w:ascii="仿宋" w:hAnsi="仿宋" w:eastAsia="仿宋"/>
          <w:sz w:val="32"/>
          <w:szCs w:val="32"/>
        </w:rPr>
        <w:t>各省辖市、</w:t>
      </w:r>
      <w:r>
        <w:rPr>
          <w:rFonts w:hint="eastAsia" w:ascii="仿宋" w:hAnsi="仿宋" w:eastAsia="仿宋"/>
          <w:sz w:val="32"/>
          <w:szCs w:val="32"/>
        </w:rPr>
        <w:t>济源示范区</w:t>
      </w:r>
      <w:r>
        <w:rPr>
          <w:rFonts w:ascii="仿宋" w:hAnsi="仿宋" w:eastAsia="仿宋"/>
          <w:sz w:val="32"/>
          <w:szCs w:val="32"/>
        </w:rPr>
        <w:t>参照工作手册对辖区内开展核医学工作的所有放射诊疗机构进行基本情况调查</w:t>
      </w:r>
      <w:r>
        <w:rPr>
          <w:rFonts w:hint="eastAsia" w:ascii="仿宋" w:hAnsi="仿宋" w:eastAsia="仿宋"/>
          <w:sz w:val="32"/>
          <w:szCs w:val="32"/>
        </w:rPr>
        <w:t>。根据 2023 年度职业健康调查结果，建立核医学工作人员队列，并对核医学工作人员和诊断放射学工作人员进行职业健康随访。</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ascii="仿宋" w:hAnsi="仿宋" w:eastAsia="仿宋"/>
          <w:sz w:val="32"/>
          <w:szCs w:val="32"/>
        </w:rPr>
        <w:t>各省辖市、</w:t>
      </w:r>
      <w:r>
        <w:rPr>
          <w:rFonts w:hint="eastAsia" w:ascii="仿宋" w:hAnsi="仿宋" w:eastAsia="仿宋"/>
          <w:sz w:val="32"/>
          <w:szCs w:val="32"/>
        </w:rPr>
        <w:t>济源示范区</w:t>
      </w:r>
      <w:r>
        <w:rPr>
          <w:rFonts w:ascii="仿宋" w:hAnsi="仿宋" w:eastAsia="仿宋"/>
          <w:bCs/>
          <w:color w:val="000000"/>
          <w:sz w:val="32"/>
          <w:szCs w:val="32"/>
        </w:rPr>
        <w:t>协助河南省第三人民医院</w:t>
      </w:r>
      <w:r>
        <w:rPr>
          <w:rFonts w:ascii="仿宋" w:hAnsi="仿宋" w:eastAsia="仿宋"/>
          <w:sz w:val="32"/>
          <w:szCs w:val="32"/>
        </w:rPr>
        <w:t>对</w:t>
      </w:r>
      <w:r>
        <w:rPr>
          <w:rFonts w:hint="eastAsia" w:ascii="仿宋" w:hAnsi="仿宋" w:eastAsia="仿宋"/>
          <w:sz w:val="32"/>
          <w:szCs w:val="32"/>
          <w:lang w:val="en-US" w:eastAsia="zh-CN"/>
        </w:rPr>
        <w:t>辖区内</w:t>
      </w:r>
      <w:r>
        <w:rPr>
          <w:rFonts w:ascii="仿宋" w:hAnsi="仿宋" w:eastAsia="仿宋"/>
          <w:sz w:val="32"/>
          <w:szCs w:val="32"/>
        </w:rPr>
        <w:t>从事碘</w:t>
      </w:r>
      <w:r>
        <w:rPr>
          <w:rFonts w:hint="eastAsia" w:ascii="仿宋" w:hAnsi="仿宋" w:eastAsia="仿宋"/>
          <w:sz w:val="32"/>
          <w:szCs w:val="32"/>
        </w:rPr>
        <w:t>-131</w:t>
      </w:r>
      <w:r>
        <w:rPr>
          <w:rFonts w:ascii="仿宋" w:hAnsi="仿宋" w:eastAsia="仿宋"/>
          <w:sz w:val="32"/>
          <w:szCs w:val="32"/>
        </w:rPr>
        <w:t>治疗的人员进行内照射监测。内照射监测时，应清除表面污染，保持环境清洁，注意扣除本底。</w:t>
      </w:r>
      <w:r>
        <w:rPr>
          <w:rFonts w:hint="eastAsia" w:ascii="仿宋" w:hAnsi="仿宋" w:eastAsia="仿宋"/>
          <w:sz w:val="32"/>
          <w:szCs w:val="32"/>
        </w:rPr>
        <w:t>上报结果时，注意估算不确定度和探测下限。</w:t>
      </w:r>
    </w:p>
    <w:p>
      <w:pPr>
        <w:keepNext w:val="0"/>
        <w:keepLines w:val="0"/>
        <w:pageBreakBefore w:val="0"/>
        <w:kinsoku/>
        <w:wordWrap/>
        <w:overflowPunct/>
        <w:topLinePunct w:val="0"/>
        <w:autoSpaceDE/>
        <w:autoSpaceDN/>
        <w:bidi w:val="0"/>
        <w:adjustRightInd w:val="0"/>
        <w:snapToGrid w:val="0"/>
        <w:spacing w:line="560" w:lineRule="exact"/>
        <w:ind w:firstLine="672" w:firstLineChars="210"/>
        <w:textAlignment w:val="auto"/>
        <w:rPr>
          <w:rFonts w:ascii="仿宋" w:hAnsi="仿宋" w:eastAsia="仿宋"/>
          <w:sz w:val="32"/>
          <w:szCs w:val="32"/>
        </w:rPr>
      </w:pPr>
      <w:r>
        <w:rPr>
          <w:rFonts w:ascii="仿宋" w:hAnsi="仿宋" w:eastAsia="仿宋"/>
          <w:sz w:val="32"/>
          <w:szCs w:val="32"/>
        </w:rPr>
        <w:t>评估指标：核医学人员健康调查的完成率（调查人数/辖区内核医学人数），</w:t>
      </w:r>
      <w:r>
        <w:rPr>
          <w:rFonts w:ascii="仿宋" w:hAnsi="仿宋" w:eastAsia="仿宋"/>
          <w:bCs/>
          <w:color w:val="000000"/>
          <w:sz w:val="32"/>
          <w:szCs w:val="32"/>
        </w:rPr>
        <w:t>诊断放射学人员健康调查的完成率（</w:t>
      </w:r>
      <w:r>
        <w:rPr>
          <w:rFonts w:ascii="仿宋" w:hAnsi="仿宋" w:eastAsia="仿宋"/>
          <w:sz w:val="32"/>
          <w:szCs w:val="32"/>
        </w:rPr>
        <w:t>调查人数/辖区内核医学人数</w:t>
      </w:r>
      <w:r>
        <w:rPr>
          <w:rFonts w:ascii="仿宋" w:hAnsi="仿宋" w:eastAsia="仿宋"/>
          <w:bCs/>
          <w:color w:val="000000"/>
          <w:sz w:val="32"/>
          <w:szCs w:val="32"/>
        </w:rPr>
        <w:t>），调查数据的完整性和准确性。</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楷体"/>
          <w:sz w:val="32"/>
          <w:szCs w:val="32"/>
        </w:rPr>
      </w:pPr>
      <w:r>
        <w:rPr>
          <w:rFonts w:ascii="仿宋" w:hAnsi="仿宋" w:eastAsia="楷体"/>
          <w:sz w:val="32"/>
          <w:szCs w:val="32"/>
        </w:rPr>
        <w:t>（四）眼晶状体检查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ascii="仿宋" w:hAnsi="仿宋" w:eastAsia="仿宋"/>
          <w:sz w:val="32"/>
          <w:szCs w:val="32"/>
        </w:rPr>
        <w:t>辖区内全部放射工作人员均应开展眼晶状体检查。汇总上报检查方法，记录是否存在眼晶状体混浊，混浊位置、混浊特征、数量、照片等信息；对检测异常率畸高畸低的机构进行检查和现场技术指导。</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楷体"/>
          <w:sz w:val="32"/>
          <w:szCs w:val="32"/>
        </w:rPr>
      </w:pPr>
      <w:r>
        <w:rPr>
          <w:rFonts w:ascii="仿宋" w:hAnsi="仿宋" w:eastAsia="楷体"/>
          <w:sz w:val="32"/>
          <w:szCs w:val="32"/>
        </w:rPr>
        <w:t>（五）职业性放射性疾病诊断</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ascii="仿宋" w:hAnsi="仿宋" w:eastAsia="仿宋"/>
          <w:sz w:val="32"/>
          <w:szCs w:val="32"/>
        </w:rPr>
        <w:t>当年度申请诊断和确诊的职业性放射性疾病的人数和情况填报，职业性放射性疾病诊断病例个案信息（诊断报告卡）上报。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ascii="仿宋" w:hAnsi="仿宋" w:eastAsia="仿宋"/>
          <w:sz w:val="32"/>
          <w:szCs w:val="32"/>
        </w:rPr>
        <w:t>职业性放射性疾病诊断机构的诊断及上报人员应参加放射病诊断技术培训。</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ascii="仿宋" w:hAnsi="仿宋" w:eastAsia="仿宋"/>
          <w:sz w:val="32"/>
          <w:szCs w:val="32"/>
        </w:rPr>
        <w:t>评估指标：辖区内全部诊断机构需在当年度12月15日前完成诊断病例的上报，并确保上报信息完整准确。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楷体"/>
          <w:sz w:val="32"/>
          <w:szCs w:val="32"/>
        </w:rPr>
      </w:pPr>
      <w:r>
        <w:rPr>
          <w:rFonts w:ascii="仿宋" w:hAnsi="仿宋" w:eastAsia="楷体"/>
          <w:sz w:val="32"/>
          <w:szCs w:val="32"/>
        </w:rPr>
        <w:t>（六）过量受照人员医学随访</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Times New Roman"/>
          <w:sz w:val="32"/>
          <w:szCs w:val="32"/>
        </w:rPr>
      </w:pPr>
      <w:r>
        <w:rPr>
          <w:rFonts w:ascii="仿宋" w:hAnsi="仿宋" w:eastAsia="仿宋"/>
          <w:sz w:val="32"/>
          <w:szCs w:val="32"/>
        </w:rPr>
        <w:t>各省辖市、</w:t>
      </w:r>
      <w:r>
        <w:rPr>
          <w:rFonts w:hint="eastAsia" w:ascii="仿宋" w:hAnsi="仿宋" w:eastAsia="仿宋"/>
          <w:sz w:val="32"/>
          <w:szCs w:val="32"/>
        </w:rPr>
        <w:t>济源示范区</w:t>
      </w:r>
      <w:r>
        <w:rPr>
          <w:rFonts w:ascii="仿宋" w:hAnsi="仿宋" w:eastAsia="仿宋"/>
          <w:sz w:val="32"/>
          <w:szCs w:val="32"/>
        </w:rPr>
        <w:t>收集、整理既往职业性放射性疾病患者、事故受照人员及202</w:t>
      </w:r>
      <w:r>
        <w:rPr>
          <w:rFonts w:hint="eastAsia" w:ascii="仿宋" w:hAnsi="仿宋" w:eastAsia="仿宋"/>
          <w:sz w:val="32"/>
          <w:szCs w:val="32"/>
        </w:rPr>
        <w:t>3</w:t>
      </w:r>
      <w:r>
        <w:rPr>
          <w:rFonts w:ascii="仿宋" w:hAnsi="仿宋" w:eastAsia="仿宋"/>
          <w:sz w:val="32"/>
          <w:szCs w:val="32"/>
        </w:rPr>
        <w:t>年</w:t>
      </w:r>
      <w:r>
        <w:rPr>
          <w:rFonts w:hint="eastAsia" w:ascii="仿宋" w:hAnsi="仿宋" w:eastAsia="仿宋"/>
          <w:sz w:val="32"/>
          <w:szCs w:val="32"/>
          <w:lang w:val="en-US" w:eastAsia="zh-CN"/>
        </w:rPr>
        <w:t>有效</w:t>
      </w:r>
      <w:r>
        <w:rPr>
          <w:rFonts w:ascii="仿宋" w:hAnsi="仿宋" w:eastAsia="仿宋"/>
          <w:sz w:val="32"/>
          <w:szCs w:val="32"/>
        </w:rPr>
        <w:t>剂量（</w:t>
      </w:r>
      <w:r>
        <w:rPr>
          <w:rFonts w:hint="eastAsia" w:ascii="仿宋" w:hAnsi="仿宋" w:eastAsia="仿宋"/>
          <w:sz w:val="32"/>
          <w:szCs w:val="32"/>
        </w:rPr>
        <w:t>监测</w:t>
      </w:r>
      <w:r>
        <w:rPr>
          <w:rFonts w:ascii="仿宋" w:hAnsi="仿宋" w:eastAsia="仿宋"/>
          <w:sz w:val="32"/>
          <w:szCs w:val="32"/>
        </w:rPr>
        <w:t>值）≥20mSv放射工作人员的基本健康情况。根据《职业性外照射急性放射病的远期效应医学随访规范》（GBZ/T 163-2017）对上述人员开展医学体检；建立符合要求的数据库，随访数据完整。对既往过量受照</w:t>
      </w:r>
      <w:r>
        <w:rPr>
          <w:rFonts w:ascii="仿宋" w:hAnsi="仿宋" w:eastAsia="仿宋" w:cs="Times New Roman"/>
          <w:sz w:val="32"/>
          <w:szCs w:val="32"/>
        </w:rPr>
        <w:t>人员医学随访中死亡人员进行死因调查，并填写死因调查表。</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eastAsia="仿宋"/>
          <w:lang w:val="en-US" w:eastAsia="zh-CN"/>
        </w:rPr>
      </w:pPr>
      <w:r>
        <w:rPr>
          <w:rFonts w:ascii="仿宋" w:hAnsi="仿宋" w:eastAsia="仿宋" w:cs="Times New Roman"/>
          <w:sz w:val="32"/>
          <w:szCs w:val="32"/>
        </w:rPr>
        <w:t>评估指标：</w:t>
      </w:r>
      <w:r>
        <w:rPr>
          <w:rFonts w:ascii="仿宋" w:hAnsi="仿宋" w:eastAsia="仿宋" w:cs="Times New Roman"/>
          <w:sz w:val="32"/>
          <w:szCs w:val="32"/>
          <w:lang w:val="en-US" w:eastAsia="zh-CN"/>
        </w:rPr>
        <w:t>本着“应访尽访”的原则对</w:t>
      </w:r>
      <w:r>
        <w:rPr>
          <w:rFonts w:ascii="仿宋" w:hAnsi="仿宋" w:eastAsia="仿宋"/>
          <w:sz w:val="32"/>
          <w:szCs w:val="32"/>
        </w:rPr>
        <w:t>既往职业性放射性疾病患者、事故受照人员及202</w:t>
      </w:r>
      <w:r>
        <w:rPr>
          <w:rFonts w:hint="eastAsia" w:ascii="仿宋" w:hAnsi="仿宋" w:eastAsia="仿宋"/>
          <w:sz w:val="32"/>
          <w:szCs w:val="32"/>
        </w:rPr>
        <w:t>3</w:t>
      </w:r>
      <w:r>
        <w:rPr>
          <w:rFonts w:ascii="仿宋" w:hAnsi="仿宋" w:eastAsia="仿宋"/>
          <w:sz w:val="32"/>
          <w:szCs w:val="32"/>
        </w:rPr>
        <w:t>年</w:t>
      </w:r>
      <w:r>
        <w:rPr>
          <w:rFonts w:hint="eastAsia" w:ascii="仿宋" w:hAnsi="仿宋" w:eastAsia="仿宋"/>
          <w:sz w:val="32"/>
          <w:szCs w:val="32"/>
          <w:lang w:val="en-US" w:eastAsia="zh-CN"/>
        </w:rPr>
        <w:t>有效</w:t>
      </w:r>
      <w:r>
        <w:rPr>
          <w:rFonts w:ascii="仿宋" w:hAnsi="仿宋" w:eastAsia="仿宋"/>
          <w:sz w:val="32"/>
          <w:szCs w:val="32"/>
        </w:rPr>
        <w:t>剂量（</w:t>
      </w:r>
      <w:r>
        <w:rPr>
          <w:rFonts w:hint="eastAsia" w:ascii="仿宋" w:hAnsi="仿宋" w:eastAsia="仿宋"/>
          <w:sz w:val="32"/>
          <w:szCs w:val="32"/>
        </w:rPr>
        <w:t>监测</w:t>
      </w:r>
      <w:r>
        <w:rPr>
          <w:rFonts w:ascii="仿宋" w:hAnsi="仿宋" w:eastAsia="仿宋"/>
          <w:sz w:val="32"/>
          <w:szCs w:val="32"/>
        </w:rPr>
        <w:t>值）≥20mSv放射工作人员</w:t>
      </w:r>
      <w:r>
        <w:rPr>
          <w:rFonts w:ascii="仿宋" w:hAnsi="仿宋" w:eastAsia="仿宋" w:cs="Times New Roman"/>
          <w:sz w:val="32"/>
          <w:szCs w:val="32"/>
          <w:lang w:val="en-US" w:eastAsia="zh-CN"/>
        </w:rPr>
        <w:t>开展医学随访，提</w:t>
      </w:r>
      <w:r>
        <w:rPr>
          <w:rFonts w:hint="eastAsia" w:ascii="仿宋" w:hAnsi="仿宋" w:eastAsia="仿宋" w:cs="Times New Roman"/>
          <w:sz w:val="32"/>
          <w:szCs w:val="32"/>
          <w:lang w:val="en-US" w:eastAsia="zh-CN"/>
        </w:rPr>
        <w:t xml:space="preserve">交随访数据。针对死亡人员进行死因调查，并填写死因调查表。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楷体"/>
          <w:sz w:val="32"/>
          <w:szCs w:val="32"/>
        </w:rPr>
      </w:pPr>
      <w:r>
        <w:rPr>
          <w:rFonts w:ascii="仿宋" w:hAnsi="仿宋" w:eastAsia="楷体"/>
          <w:sz w:val="32"/>
          <w:szCs w:val="32"/>
        </w:rPr>
        <w:t>（七）高氡暴露矿工健康效应监测</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ascii="仿宋" w:hAnsi="仿宋" w:eastAsia="仿宋"/>
          <w:sz w:val="32"/>
          <w:szCs w:val="32"/>
        </w:rPr>
        <w:t>选择洛阳市1～2座生产中的非铀非煤井下金属矿山，开展井下矿工氡暴露健康效应监测。包括矿山基本情况调查，矿山氡监测情况调查，矿工氡个人剂量监测，参照《放射工作人员健康要求及监护规范》（GBZ 98-2020）对监测对象开展职业健康检查，增加肺癌低剂量CT筛查，对矿山所在地市肺癌死亡及其发病情况开展调查。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ascii="仿宋" w:hAnsi="仿宋" w:eastAsia="仿宋"/>
          <w:sz w:val="32"/>
          <w:szCs w:val="32"/>
        </w:rPr>
        <w:t>评估指标：开展高氡暴露矿工健康效应监测的省辖市（洛阳市）对至少60名</w:t>
      </w:r>
      <w:r>
        <w:rPr>
          <w:rFonts w:ascii="仿宋" w:hAnsi="仿宋" w:eastAsia="仿宋"/>
          <w:bCs/>
          <w:color w:val="000000"/>
          <w:sz w:val="32"/>
          <w:szCs w:val="32"/>
        </w:rPr>
        <w:t>（井下矿工和井上对照人员各30人）</w:t>
      </w:r>
      <w:r>
        <w:rPr>
          <w:rFonts w:ascii="仿宋" w:hAnsi="仿宋" w:eastAsia="仿宋"/>
          <w:sz w:val="32"/>
          <w:szCs w:val="32"/>
        </w:rPr>
        <w:t>矿工进行健康效应监测。</w:t>
      </w:r>
      <w:r>
        <w:rPr>
          <w:rFonts w:hint="eastAsia" w:ascii="仿宋" w:hAnsi="仿宋" w:eastAsia="仿宋"/>
          <w:sz w:val="32"/>
          <w:szCs w:val="32"/>
        </w:rPr>
        <w:t>上一年度的监测对象原则上不纳入本年度监测范围。</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楷体"/>
          <w:sz w:val="32"/>
          <w:szCs w:val="32"/>
        </w:rPr>
      </w:pPr>
      <w:r>
        <w:rPr>
          <w:rFonts w:ascii="仿宋" w:hAnsi="仿宋" w:eastAsia="楷体"/>
          <w:sz w:val="32"/>
          <w:szCs w:val="32"/>
        </w:rPr>
        <w:t>（八）放射工作人员职业健康检查机构质量考核</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ascii="仿宋" w:hAnsi="仿宋" w:eastAsia="仿宋"/>
          <w:sz w:val="32"/>
          <w:szCs w:val="32"/>
        </w:rPr>
        <w:t>依据《职业健康检查管理办法》（国家卫生健康委令第2号），</w:t>
      </w:r>
      <w:r>
        <w:rPr>
          <w:rFonts w:ascii="仿宋" w:hAnsi="仿宋" w:eastAsia="仿宋"/>
          <w:color w:val="000000"/>
          <w:sz w:val="32"/>
          <w:szCs w:val="32"/>
        </w:rPr>
        <w:t>河南省职业健康技术质量控制中心</w:t>
      </w:r>
      <w:r>
        <w:rPr>
          <w:rFonts w:ascii="仿宋" w:hAnsi="仿宋" w:eastAsia="仿宋"/>
          <w:sz w:val="32"/>
          <w:szCs w:val="32"/>
        </w:rPr>
        <w:t>要参加中国疾控中心辐射安全所组织的生物剂量估算能力考核，并对辖区内每个职业健康检查机构抽取10份体检报告组织专家评估质量，抽取</w:t>
      </w:r>
      <w:r>
        <w:rPr>
          <w:rFonts w:hint="eastAsia" w:ascii="仿宋" w:hAnsi="仿宋" w:eastAsia="仿宋"/>
          <w:sz w:val="32"/>
          <w:szCs w:val="32"/>
          <w:lang w:val="en-US" w:eastAsia="zh-CN"/>
        </w:rPr>
        <w:t>至少</w:t>
      </w:r>
      <w:r>
        <w:rPr>
          <w:rFonts w:ascii="仿宋" w:hAnsi="仿宋" w:eastAsia="仿宋"/>
          <w:sz w:val="32"/>
          <w:szCs w:val="32"/>
        </w:rPr>
        <w:t>50%的职业健康检查机构进行现场质量控制检查。对于年初和年末职业健康检查机构数量不一致的地区，以全年职业健康检查机构数量最多的作为基数计算；对于在考核前1年未开展职业健康检查的职业健康检查机构，当年度暂不进行质量考核</w:t>
      </w:r>
      <w:r>
        <w:rPr>
          <w:rFonts w:ascii="仿宋" w:hAnsi="仿宋" w:eastAsia="仿宋" w:cs="Times New Roman"/>
          <w:sz w:val="32"/>
          <w:szCs w:val="32"/>
        </w:rPr>
        <w:t>。</w:t>
      </w:r>
      <w:r>
        <w:rPr>
          <w:rFonts w:ascii="仿宋" w:hAnsi="仿宋" w:eastAsia="仿宋"/>
          <w:bCs/>
          <w:sz w:val="32"/>
          <w:szCs w:val="32"/>
        </w:rPr>
        <w:t>职业健康检查机构部分检测项目委托其他机构进行检测的，质控专家组要对受委托机构相应资质和能力进行延伸质控。</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ascii="仿宋" w:hAnsi="仿宋" w:eastAsia="仿宋"/>
          <w:sz w:val="32"/>
          <w:szCs w:val="32"/>
        </w:rPr>
        <w:t>评估指标：抽取至少50%的职业健康检查机构进行质量考核，2年覆盖全部职业健康检查机构。</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hAnsi="仿宋" w:eastAsia="仿宋"/>
          <w:sz w:val="32"/>
          <w:szCs w:val="32"/>
        </w:rPr>
        <w:sectPr>
          <w:headerReference r:id="rId3" w:type="default"/>
          <w:footerReference r:id="rId4" w:type="default"/>
          <w:pgSz w:w="11906" w:h="16838"/>
          <w:pgMar w:top="2098" w:right="1474" w:bottom="1984" w:left="1587" w:header="851" w:footer="992" w:gutter="0"/>
          <w:pgNumType w:fmt="decimal" w:start="2"/>
          <w:cols w:space="720" w:num="1"/>
          <w:docGrid w:linePitch="312" w:charSpace="0"/>
        </w:sectPr>
      </w:pPr>
      <w:r>
        <w:rPr>
          <w:rFonts w:ascii="仿宋" w:hAnsi="仿宋" w:eastAsia="仿宋"/>
          <w:color w:val="000000"/>
          <w:sz w:val="32"/>
          <w:szCs w:val="32"/>
        </w:rPr>
        <w:t>河南省职业健康技术质量控制中心</w:t>
      </w:r>
      <w:r>
        <w:rPr>
          <w:rFonts w:ascii="仿宋" w:hAnsi="仿宋" w:eastAsia="仿宋"/>
          <w:sz w:val="32"/>
          <w:szCs w:val="32"/>
        </w:rPr>
        <w:t>抽查发现上述监测工作存在弄虚作假或监测质量出现严重问题的，相关监测工作需要重新实施，并及时通报。</w:t>
      </w:r>
    </w:p>
    <w:p>
      <w:pPr>
        <w:spacing w:line="560" w:lineRule="exact"/>
        <w:rPr>
          <w:rFonts w:hint="eastAsia" w:ascii="仿宋" w:hAnsi="仿宋" w:eastAsia="CESI仿宋-GB2312" w:cs="CESI仿宋-GB2312"/>
          <w:sz w:val="32"/>
          <w:szCs w:val="32"/>
        </w:rPr>
      </w:pPr>
    </w:p>
    <w:sectPr>
      <w:headerReference r:id="rId5" w:type="default"/>
      <w:footerReference r:id="rId6" w:type="default"/>
      <w:pgSz w:w="11906" w:h="16838"/>
      <w:pgMar w:top="1644" w:right="1474" w:bottom="1644" w:left="1587" w:header="851" w:footer="992" w:gutter="0"/>
      <w:pgNumType w:fmt="decimal"/>
      <w:cols w:space="720" w:num="1"/>
      <w:docGrid w:type="linesAndChars" w:linePitch="615"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ESI仿宋-GB2312">
    <w:altName w:val="仿宋"/>
    <w:panose1 w:val="00000000000000000000"/>
    <w:charset w:val="86"/>
    <w:family w:val="auto"/>
    <w:pitch w:val="default"/>
    <w:sig w:usb0="00000000" w:usb1="00000000" w:usb2="00000010" w:usb3="00000000" w:csb0="0004000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3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gUs1t3gEAAL8DAAAOAAAAAAAA&#10;AAEAIAAAAB4BAABkcnMvZTJvRG9jLnhtbFBLBQYAAAAABgAGAFkBAABuBQAAAAA=&#10;">
              <v:fill on="f" focussize="0,0"/>
              <v:stroke on="f"/>
              <v:imagedata o:title=""/>
              <o:lock v:ext="edit" aspectratio="f"/>
              <v:textbox inset="0mm,0mm,0mm,0mm" style="mso-fit-shape-to-text:t;">
                <w:txbxContent>
                  <w:p>
                    <w:pPr>
                      <w:pStyle w:val="1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1"/>
  <w:drawingGridVerticalSpacing w:val="615"/>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1YmYzNzQxOGZkODI3NjAzZWY1ZTU3NGFmY2Y0M2IifQ=="/>
  </w:docVars>
  <w:rsids>
    <w:rsidRoot w:val="00172A27"/>
    <w:rsid w:val="00CF5500"/>
    <w:rsid w:val="02C72207"/>
    <w:rsid w:val="05D7389E"/>
    <w:rsid w:val="1536280C"/>
    <w:rsid w:val="219E6AFD"/>
    <w:rsid w:val="254F010E"/>
    <w:rsid w:val="2DBC5A2C"/>
    <w:rsid w:val="329E56B6"/>
    <w:rsid w:val="34BC6AD8"/>
    <w:rsid w:val="37F049AB"/>
    <w:rsid w:val="3E0E2D1D"/>
    <w:rsid w:val="400D3348"/>
    <w:rsid w:val="40DE0506"/>
    <w:rsid w:val="4B8A2CA1"/>
    <w:rsid w:val="4D6173A0"/>
    <w:rsid w:val="4F493C9D"/>
    <w:rsid w:val="5066521D"/>
    <w:rsid w:val="51065647"/>
    <w:rsid w:val="513F3679"/>
    <w:rsid w:val="54817491"/>
    <w:rsid w:val="5AAC46E3"/>
    <w:rsid w:val="6CAB0532"/>
    <w:rsid w:val="705A7660"/>
    <w:rsid w:val="758F0824"/>
    <w:rsid w:val="7BB77E18"/>
    <w:rsid w:val="7FAE29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iPriority="99"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2"/>
      <w:lang w:val="en-US" w:eastAsia="zh-CN" w:bidi="ar-SA"/>
    </w:rPr>
  </w:style>
  <w:style w:type="paragraph" w:styleId="4">
    <w:name w:val="heading 1"/>
    <w:basedOn w:val="1"/>
    <w:next w:val="1"/>
    <w:link w:val="23"/>
    <w:qFormat/>
    <w:uiPriority w:val="0"/>
    <w:pPr>
      <w:widowControl/>
      <w:spacing w:before="100" w:beforeLines="0" w:beforeAutospacing="1" w:after="100" w:afterLines="0" w:afterAutospacing="1"/>
      <w:jc w:val="left"/>
      <w:outlineLvl w:val="0"/>
    </w:pPr>
    <w:rPr>
      <w:rFonts w:ascii="宋体" w:hAnsi="宋体"/>
      <w:b/>
      <w:bCs/>
      <w:kern w:val="36"/>
      <w:sz w:val="48"/>
      <w:szCs w:val="48"/>
    </w:rPr>
  </w:style>
  <w:style w:type="character" w:default="1" w:styleId="17">
    <w:name w:val="Default Paragraph Font"/>
    <w:semiHidden/>
    <w:uiPriority w:val="0"/>
  </w:style>
  <w:style w:type="table" w:default="1" w:styleId="16">
    <w:name w:val="Normal Table"/>
    <w:unhideWhenUsed/>
    <w:uiPriority w:val="99"/>
    <w:tblPr>
      <w:tblStyle w:val="16"/>
      <w:tblCellMar>
        <w:top w:w="0" w:type="dxa"/>
        <w:left w:w="108" w:type="dxa"/>
        <w:bottom w:w="0" w:type="dxa"/>
        <w:right w:w="108" w:type="dxa"/>
      </w:tblCellMar>
    </w:tblPr>
  </w:style>
  <w:style w:type="paragraph" w:styleId="2">
    <w:name w:val="Normal Indent"/>
    <w:basedOn w:val="1"/>
    <w:next w:val="3"/>
    <w:qFormat/>
    <w:uiPriority w:val="0"/>
    <w:pPr>
      <w:widowControl w:val="0"/>
      <w:ind w:firstLine="420" w:firstLineChars="200"/>
      <w:jc w:val="both"/>
    </w:pPr>
    <w:rPr>
      <w:rFonts w:ascii="Calibri" w:hAnsi="Calibri" w:eastAsia="仿宋_GB2312" w:cs="Times New Roman"/>
      <w:kern w:val="2"/>
      <w:sz w:val="32"/>
      <w:szCs w:val="24"/>
      <w:lang w:val="en-US" w:eastAsia="zh-CN" w:bidi="ar-SA"/>
    </w:rPr>
  </w:style>
  <w:style w:type="paragraph" w:styleId="3">
    <w:name w:val="envelope return"/>
    <w:basedOn w:val="1"/>
    <w:qFormat/>
    <w:uiPriority w:val="0"/>
    <w:pPr>
      <w:widowControl w:val="0"/>
      <w:snapToGrid w:val="0"/>
      <w:jc w:val="both"/>
    </w:pPr>
    <w:rPr>
      <w:rFonts w:ascii="Arial" w:hAnsi="Arial" w:eastAsia="仿宋_GB2312"/>
      <w:kern w:val="2"/>
      <w:sz w:val="32"/>
      <w:szCs w:val="24"/>
      <w:lang w:val="en-US" w:eastAsia="zh-CN" w:bidi="ar-SA"/>
    </w:rPr>
  </w:style>
  <w:style w:type="paragraph" w:styleId="5">
    <w:name w:val="Note Heading"/>
    <w:basedOn w:val="2"/>
    <w:next w:val="1"/>
    <w:qFormat/>
    <w:uiPriority w:val="0"/>
    <w:pPr>
      <w:ind w:left="630" w:leftChars="100" w:right="100" w:rightChars="100" w:firstLine="200"/>
      <w:jc w:val="left"/>
    </w:pPr>
    <w:rPr>
      <w:rFonts w:eastAsia="仿宋"/>
    </w:rPr>
  </w:style>
  <w:style w:type="paragraph" w:styleId="6">
    <w:name w:val="annotation text"/>
    <w:basedOn w:val="1"/>
    <w:link w:val="24"/>
    <w:uiPriority w:val="0"/>
    <w:pPr>
      <w:jc w:val="left"/>
    </w:pPr>
  </w:style>
  <w:style w:type="paragraph" w:styleId="7">
    <w:name w:val="Body Text"/>
    <w:basedOn w:val="1"/>
    <w:link w:val="25"/>
    <w:qFormat/>
    <w:uiPriority w:val="0"/>
    <w:pPr>
      <w:spacing w:after="120" w:afterLines="0"/>
    </w:pPr>
  </w:style>
  <w:style w:type="paragraph" w:styleId="8">
    <w:name w:val="Body Text Indent"/>
    <w:basedOn w:val="1"/>
    <w:uiPriority w:val="0"/>
    <w:pPr>
      <w:spacing w:after="120" w:afterLines="0"/>
      <w:ind w:leftChars="200"/>
    </w:pPr>
    <w:rPr>
      <w:rFonts w:ascii="Times New Roman" w:hAnsi="Times New Roman"/>
      <w:szCs w:val="24"/>
    </w:rPr>
  </w:style>
  <w:style w:type="paragraph" w:styleId="9">
    <w:name w:val="Plain Text"/>
    <w:basedOn w:val="1"/>
    <w:link w:val="26"/>
    <w:unhideWhenUsed/>
    <w:uiPriority w:val="99"/>
    <w:rPr>
      <w:rFonts w:ascii="宋体" w:hAnsi="Courier New"/>
      <w:szCs w:val="21"/>
    </w:rPr>
  </w:style>
  <w:style w:type="paragraph" w:styleId="10">
    <w:name w:val="Date"/>
    <w:basedOn w:val="1"/>
    <w:next w:val="1"/>
    <w:uiPriority w:val="0"/>
    <w:pPr>
      <w:ind w:left="100" w:leftChars="2500"/>
    </w:pPr>
  </w:style>
  <w:style w:type="paragraph" w:styleId="11">
    <w:name w:val="Balloon Text"/>
    <w:basedOn w:val="1"/>
    <w:link w:val="27"/>
    <w:uiPriority w:val="0"/>
    <w:rPr>
      <w:sz w:val="18"/>
      <w:szCs w:val="18"/>
    </w:rPr>
  </w:style>
  <w:style w:type="paragraph" w:styleId="12">
    <w:name w:val="footer"/>
    <w:basedOn w:val="1"/>
    <w:link w:val="28"/>
    <w:qFormat/>
    <w:uiPriority w:val="99"/>
    <w:pPr>
      <w:tabs>
        <w:tab w:val="center" w:pos="4153"/>
        <w:tab w:val="right" w:pos="8306"/>
      </w:tabs>
      <w:snapToGrid w:val="0"/>
      <w:jc w:val="left"/>
    </w:pPr>
    <w:rPr>
      <w:sz w:val="18"/>
      <w:szCs w:val="18"/>
    </w:rPr>
  </w:style>
  <w:style w:type="paragraph" w:styleId="1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uiPriority w:val="99"/>
    <w:pPr>
      <w:widowControl/>
      <w:spacing w:before="100" w:beforeLines="0" w:beforeAutospacing="1" w:after="100" w:afterLines="0" w:afterAutospacing="1"/>
      <w:jc w:val="left"/>
    </w:pPr>
    <w:rPr>
      <w:rFonts w:ascii="宋体" w:hAnsi="宋体" w:cs="宋体"/>
      <w:kern w:val="0"/>
      <w:sz w:val="24"/>
      <w:szCs w:val="24"/>
    </w:rPr>
  </w:style>
  <w:style w:type="paragraph" w:styleId="15">
    <w:name w:val="annotation subject"/>
    <w:basedOn w:val="6"/>
    <w:next w:val="6"/>
    <w:link w:val="29"/>
    <w:uiPriority w:val="0"/>
    <w:rPr>
      <w:b/>
      <w:bCs/>
    </w:rPr>
  </w:style>
  <w:style w:type="character" w:styleId="18">
    <w:name w:val="Strong"/>
    <w:qFormat/>
    <w:uiPriority w:val="0"/>
    <w:rPr>
      <w:b/>
      <w:bCs/>
    </w:rPr>
  </w:style>
  <w:style w:type="character" w:styleId="19">
    <w:name w:val="page number"/>
    <w:uiPriority w:val="0"/>
  </w:style>
  <w:style w:type="character" w:styleId="20">
    <w:name w:val="Emphasis"/>
    <w:qFormat/>
    <w:uiPriority w:val="20"/>
    <w:rPr>
      <w:i/>
      <w:iCs/>
    </w:rPr>
  </w:style>
  <w:style w:type="character" w:styleId="21">
    <w:name w:val="Hyperlink"/>
    <w:uiPriority w:val="0"/>
    <w:rPr>
      <w:color w:val="0000FF"/>
      <w:u w:val="single"/>
    </w:rPr>
  </w:style>
  <w:style w:type="character" w:styleId="22">
    <w:name w:val="annotation reference"/>
    <w:uiPriority w:val="0"/>
    <w:rPr>
      <w:sz w:val="21"/>
      <w:szCs w:val="21"/>
    </w:rPr>
  </w:style>
  <w:style w:type="character" w:customStyle="1" w:styleId="23">
    <w:name w:val="标题 1 Char"/>
    <w:link w:val="4"/>
    <w:uiPriority w:val="0"/>
    <w:rPr>
      <w:rFonts w:ascii="宋体" w:hAnsi="宋体" w:cs="宋体"/>
      <w:b/>
      <w:bCs/>
      <w:kern w:val="36"/>
      <w:sz w:val="48"/>
      <w:szCs w:val="48"/>
    </w:rPr>
  </w:style>
  <w:style w:type="character" w:customStyle="1" w:styleId="24">
    <w:name w:val="批注文字 Char"/>
    <w:link w:val="6"/>
    <w:uiPriority w:val="0"/>
    <w:rPr>
      <w:rFonts w:ascii="Calibri" w:hAnsi="Calibri"/>
      <w:kern w:val="2"/>
      <w:sz w:val="21"/>
      <w:szCs w:val="22"/>
    </w:rPr>
  </w:style>
  <w:style w:type="character" w:customStyle="1" w:styleId="25">
    <w:name w:val="正文文本 Char"/>
    <w:link w:val="7"/>
    <w:qFormat/>
    <w:uiPriority w:val="0"/>
    <w:rPr>
      <w:rFonts w:ascii="Calibri" w:hAnsi="Calibri"/>
      <w:kern w:val="2"/>
      <w:sz w:val="21"/>
      <w:szCs w:val="22"/>
    </w:rPr>
  </w:style>
  <w:style w:type="character" w:customStyle="1" w:styleId="26">
    <w:name w:val="纯文本 Char"/>
    <w:link w:val="9"/>
    <w:uiPriority w:val="99"/>
    <w:rPr>
      <w:rFonts w:ascii="宋体" w:hAnsi="Courier New" w:cs="Courier New"/>
      <w:kern w:val="2"/>
      <w:sz w:val="21"/>
      <w:szCs w:val="21"/>
    </w:rPr>
  </w:style>
  <w:style w:type="character" w:customStyle="1" w:styleId="27">
    <w:name w:val="批注框文本 Char"/>
    <w:link w:val="11"/>
    <w:uiPriority w:val="0"/>
    <w:rPr>
      <w:rFonts w:ascii="Calibri" w:hAnsi="Calibri"/>
      <w:kern w:val="2"/>
      <w:sz w:val="18"/>
      <w:szCs w:val="18"/>
    </w:rPr>
  </w:style>
  <w:style w:type="character" w:customStyle="1" w:styleId="28">
    <w:name w:val="页脚 Char1"/>
    <w:link w:val="12"/>
    <w:qFormat/>
    <w:uiPriority w:val="99"/>
    <w:rPr>
      <w:rFonts w:ascii="Calibri" w:hAnsi="Calibri"/>
      <w:kern w:val="2"/>
      <w:sz w:val="18"/>
      <w:szCs w:val="18"/>
    </w:rPr>
  </w:style>
  <w:style w:type="character" w:customStyle="1" w:styleId="29">
    <w:name w:val="批注主题 Char"/>
    <w:link w:val="15"/>
    <w:uiPriority w:val="0"/>
    <w:rPr>
      <w:rFonts w:ascii="Calibri" w:hAnsi="Calibri"/>
      <w:b/>
      <w:bCs/>
      <w:kern w:val="2"/>
      <w:sz w:val="21"/>
      <w:szCs w:val="22"/>
    </w:rPr>
  </w:style>
  <w:style w:type="character" w:customStyle="1" w:styleId="30">
    <w:name w:val="未处理的提及"/>
    <w:unhideWhenUsed/>
    <w:uiPriority w:val="99"/>
    <w:rPr>
      <w:color w:val="605E5C"/>
      <w:shd w:val="clear" w:color="auto" w:fill="E1DFDD"/>
    </w:rPr>
  </w:style>
  <w:style w:type="character" w:customStyle="1" w:styleId="31">
    <w:name w:val="highlight"/>
    <w:uiPriority w:val="0"/>
  </w:style>
  <w:style w:type="character" w:customStyle="1" w:styleId="32">
    <w:name w:val="页脚 Char"/>
    <w:uiPriority w:val="99"/>
    <w:rPr>
      <w:rFonts w:ascii="Calibri" w:hAnsi="Calibri"/>
      <w:kern w:val="2"/>
      <w:sz w:val="18"/>
      <w:szCs w:val="18"/>
    </w:rPr>
  </w:style>
  <w:style w:type="character" w:customStyle="1" w:styleId="33">
    <w:name w:val="font21"/>
    <w:uiPriority w:val="0"/>
    <w:rPr>
      <w:rFonts w:hint="eastAsia" w:ascii="宋体" w:hAnsi="宋体" w:eastAsia="宋体" w:cs="宋体"/>
      <w:color w:val="000000"/>
      <w:sz w:val="28"/>
      <w:szCs w:val="28"/>
      <w:u w:val="none"/>
    </w:rPr>
  </w:style>
  <w:style w:type="paragraph" w:customStyle="1" w:styleId="34">
    <w:name w:val="p0"/>
    <w:basedOn w:val="1"/>
    <w:uiPriority w:val="0"/>
    <w:pPr>
      <w:widowControl/>
    </w:pPr>
    <w:rPr>
      <w:rFonts w:ascii="Times New Roman" w:hAnsi="Times New Roman"/>
      <w:kern w:val="0"/>
      <w:szCs w:val="21"/>
    </w:rPr>
  </w:style>
  <w:style w:type="paragraph" w:customStyle="1" w:styleId="35">
    <w:name w:val="样式3"/>
    <w:basedOn w:val="12"/>
    <w:qFormat/>
    <w:uiPriority w:val="0"/>
    <w:pPr>
      <w:pBdr>
        <w:top w:val="single" w:color="auto" w:sz="4" w:space="1"/>
        <w:left w:val="none" w:color="auto" w:sz="0" w:space="4"/>
        <w:bottom w:val="none" w:color="auto" w:sz="0" w:space="1"/>
        <w:right w:val="none" w:color="auto" w:sz="0" w:space="4"/>
      </w:pBdr>
    </w:pPr>
    <w:rPr>
      <w:rFonts w:ascii="Times New Roman" w:hAnsi="Times New Roman"/>
    </w:rPr>
  </w:style>
  <w:style w:type="paragraph" w:customStyle="1" w:styleId="36">
    <w:name w:val="Body text|1"/>
    <w:basedOn w:val="1"/>
    <w:qFormat/>
    <w:uiPriority w:val="0"/>
    <w:pPr>
      <w:spacing w:line="394" w:lineRule="auto"/>
      <w:ind w:firstLine="400"/>
    </w:pPr>
    <w:rPr>
      <w:rFonts w:ascii="宋体" w:hAnsi="宋体" w:cs="宋体"/>
      <w:sz w:val="30"/>
      <w:szCs w:val="30"/>
      <w:lang w:val="zh-TW" w:eastAsia="zh-TW" w:bidi="zh-TW"/>
    </w:rPr>
  </w:style>
  <w:style w:type="paragraph" w:customStyle="1" w:styleId="37">
    <w:name w:val="样式1"/>
    <w:basedOn w:val="12"/>
    <w:qFormat/>
    <w:uiPriority w:val="0"/>
    <w:pPr>
      <w:pBdr>
        <w:top w:val="single" w:color="auto" w:sz="4" w:space="1"/>
        <w:left w:val="none" w:color="auto" w:sz="0" w:space="4"/>
        <w:bottom w:val="none" w:color="auto" w:sz="0" w:space="1"/>
        <w:right w:val="none" w:color="auto" w:sz="0" w:space="4"/>
      </w:pBdr>
    </w:pPr>
    <w:rPr>
      <w:rFonts w:ascii="Times New Roman" w:hAnsi="Times New Roman"/>
      <w:szCs w:val="24"/>
    </w:rPr>
  </w:style>
  <w:style w:type="paragraph" w:styleId="38">
    <w:name w:val="List Paragraph"/>
    <w:basedOn w:val="1"/>
    <w:qFormat/>
    <w:uiPriority w:val="99"/>
    <w:pPr>
      <w:ind w:firstLine="420" w:firstLineChars="200"/>
    </w:pPr>
    <w:rPr>
      <w:rFonts w:ascii="Calibri" w:hAnsi="Calibri" w:eastAsia="宋体" w:cs="Times New Roman"/>
    </w:rPr>
  </w:style>
  <w:style w:type="paragraph" w:customStyle="1" w:styleId="39">
    <w:name w:val="列出段落11"/>
    <w:basedOn w:val="1"/>
    <w:qFormat/>
    <w:uiPriority w:val="34"/>
    <w:pPr>
      <w:ind w:firstLine="420" w:firstLineChars="200"/>
    </w:pPr>
  </w:style>
  <w:style w:type="paragraph" w:customStyle="1" w:styleId="40">
    <w:name w:val=" Char1"/>
    <w:basedOn w:val="1"/>
    <w:uiPriority w:val="0"/>
    <w:rPr>
      <w:rFonts w:ascii="Times New Roman" w:hAnsi="Times New Roman"/>
      <w:szCs w:val="24"/>
    </w:rPr>
  </w:style>
  <w:style w:type="paragraph" w:customStyle="1" w:styleId="41">
    <w:name w:val="Body text|2"/>
    <w:basedOn w:val="1"/>
    <w:qFormat/>
    <w:uiPriority w:val="0"/>
    <w:pPr>
      <w:widowControl w:val="0"/>
      <w:shd w:val="clear" w:color="auto" w:fill="auto"/>
      <w:spacing w:line="540" w:lineRule="exact"/>
      <w:jc w:val="center"/>
    </w:pPr>
    <w:rPr>
      <w:rFonts w:ascii="宋体" w:hAnsi="宋体" w:eastAsia="宋体" w:cs="宋体"/>
      <w:sz w:val="36"/>
      <w:szCs w:val="36"/>
      <w:u w:val="none"/>
      <w:shd w:val="clear" w:color="auto" w:fill="auto"/>
      <w:lang w:val="zh-TW" w:eastAsia="zh-TW" w:bidi="zh-TW"/>
    </w:rPr>
  </w:style>
  <w:style w:type="paragraph" w:customStyle="1" w:styleId="42">
    <w:name w:val="Other|1"/>
    <w:basedOn w:val="1"/>
    <w:qFormat/>
    <w:uiPriority w:val="0"/>
    <w:pPr>
      <w:spacing w:line="394" w:lineRule="auto"/>
      <w:ind w:firstLine="400"/>
    </w:pPr>
    <w:rPr>
      <w:rFonts w:ascii="宋体" w:hAnsi="宋体" w:cs="宋体"/>
      <w:sz w:val="30"/>
      <w:szCs w:val="30"/>
      <w:lang w:val="zh-TW" w:eastAsia="zh-TW" w:bidi="zh-TW"/>
    </w:rPr>
  </w:style>
  <w:style w:type="paragraph" w:customStyle="1" w:styleId="43">
    <w:name w:val="普通(网站)1"/>
    <w:basedOn w:val="1"/>
    <w:qFormat/>
    <w:uiPriority w:val="0"/>
    <w:pPr>
      <w:widowControl/>
      <w:spacing w:before="100" w:beforeLines="0" w:beforeAutospacing="1" w:after="100" w:afterLines="0" w:afterAutospacing="1"/>
      <w:jc w:val="left"/>
    </w:pPr>
    <w:rPr>
      <w:rFonts w:ascii="宋体" w:hAnsi="宋体" w:cs="宋体"/>
      <w:kern w:val="0"/>
      <w:sz w:val="24"/>
      <w:szCs w:val="20"/>
    </w:rPr>
  </w:style>
  <w:style w:type="paragraph" w:customStyle="1" w:styleId="44">
    <w:name w:val="其他"/>
    <w:basedOn w:val="1"/>
    <w:qFormat/>
    <w:uiPriority w:val="0"/>
    <w:pPr>
      <w:shd w:val="clear" w:color="auto" w:fill="FFFFFF"/>
      <w:jc w:val="left"/>
    </w:pPr>
    <w:rPr>
      <w:rFonts w:ascii="黑体" w:hAnsi="黑体" w:eastAsia="黑体" w:cs="黑体"/>
      <w:kern w:val="0"/>
      <w:sz w:val="20"/>
      <w:szCs w:val="20"/>
      <w:lang w:val="zh-CN" w:bidi="zh-CN"/>
    </w:rPr>
  </w:style>
  <w:style w:type="paragraph" w:customStyle="1" w:styleId="45">
    <w:name w:val="Heading #2|1"/>
    <w:basedOn w:val="1"/>
    <w:qFormat/>
    <w:uiPriority w:val="0"/>
    <w:pPr>
      <w:spacing w:after="240" w:afterLines="0"/>
      <w:jc w:val="center"/>
      <w:outlineLvl w:val="1"/>
    </w:pPr>
    <w:rPr>
      <w:rFonts w:ascii="宋体" w:hAnsi="宋体" w:cs="宋体"/>
      <w:sz w:val="36"/>
      <w:szCs w:val="36"/>
      <w:lang w:val="zh-TW" w:eastAsia="zh-TW" w:bidi="zh-TW"/>
    </w:rPr>
  </w:style>
  <w:style w:type="paragraph" w:customStyle="1" w:styleId="46">
    <w:name w:val="Default"/>
    <w:qFormat/>
    <w:uiPriority w:val="0"/>
    <w:pPr>
      <w:widowControl w:val="0"/>
      <w:autoSpaceDE w:val="0"/>
      <w:autoSpaceDN w:val="0"/>
      <w:adjustRightInd w:val="0"/>
    </w:pPr>
    <w:rPr>
      <w:rFonts w:ascii="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落雪梨花</Company>
  <Pages>6</Pages>
  <Words>1577</Words>
  <Characters>8991</Characters>
  <Lines>74</Lines>
  <Paragraphs>21</Paragraphs>
  <TotalTime>45</TotalTime>
  <ScaleCrop>false</ScaleCrop>
  <LinksUpToDate>false</LinksUpToDate>
  <CharactersWithSpaces>10547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2023-06-15T07:34:00Z</dcterms:created>
  <dc:creator>微软用户</dc:creator>
  <cp:lastModifiedBy>李朋起</cp:lastModifiedBy>
  <cp:lastPrinted>2023-06-26T03:38:00Z</cp:lastPrinted>
  <dcterms:modified xsi:type="dcterms:W3CDTF">2024-06-14T09:17:59Z</dcterms:modified>
  <dc:title>河南省职业卫生信息化管理方案</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0966377CA32A4802A66FF1D275E7C933_13</vt:lpwstr>
  </property>
</Properties>
</file>